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768" w:rsidRDefault="00EE3768" w:rsidP="00EE3768">
      <w:pPr>
        <w:rPr>
          <w:rFonts w:ascii="Arial" w:hAnsi="Arial"/>
          <w:sz w:val="16"/>
        </w:rPr>
      </w:pPr>
    </w:p>
    <w:p w:rsidR="0073175C" w:rsidRDefault="0073175C" w:rsidP="0073175C">
      <w:pPr>
        <w:jc w:val="center"/>
        <w:rPr>
          <w:b/>
          <w:szCs w:val="24"/>
        </w:rPr>
      </w:pPr>
      <w:r w:rsidRPr="00C944E3">
        <w:rPr>
          <w:b/>
          <w:szCs w:val="24"/>
        </w:rPr>
        <w:t>BİRİM FİYAT TEKLİF CETVELİ</w:t>
      </w:r>
    </w:p>
    <w:p w:rsidR="0073175C" w:rsidRDefault="0073175C" w:rsidP="0073175C">
      <w:pPr>
        <w:jc w:val="center"/>
        <w:rPr>
          <w:b/>
          <w:szCs w:val="24"/>
        </w:rPr>
      </w:pPr>
    </w:p>
    <w:p w:rsidR="0073175C" w:rsidRPr="001719D4" w:rsidRDefault="0073175C" w:rsidP="0073175C">
      <w:pPr>
        <w:rPr>
          <w:szCs w:val="24"/>
        </w:rPr>
      </w:pPr>
      <w:r>
        <w:rPr>
          <w:szCs w:val="24"/>
        </w:rPr>
        <w:t>İdarenin Adı                         :Diş Hekimliği Fakültesi YÜKSEKÖĞRETİM KURUMLARI UŞAK ÜNİVERSİTESİ</w:t>
      </w:r>
    </w:p>
    <w:p w:rsidR="0073175C" w:rsidRDefault="0073175C" w:rsidP="0073175C">
      <w:pPr>
        <w:rPr>
          <w:szCs w:val="24"/>
        </w:rPr>
      </w:pPr>
      <w:r>
        <w:rPr>
          <w:szCs w:val="24"/>
        </w:rPr>
        <w:t xml:space="preserve">Doğrudan Temin Numarası </w:t>
      </w:r>
      <w:r w:rsidRPr="00C944E3">
        <w:rPr>
          <w:szCs w:val="24"/>
        </w:rPr>
        <w:t>:</w:t>
      </w:r>
      <w:r>
        <w:rPr>
          <w:szCs w:val="24"/>
        </w:rPr>
        <w:t>21DT559161</w:t>
      </w:r>
    </w:p>
    <w:p w:rsidR="0073175C" w:rsidRDefault="0073175C" w:rsidP="0073175C">
      <w:pPr>
        <w:rPr>
          <w:szCs w:val="24"/>
        </w:rPr>
      </w:pPr>
      <w:r>
        <w:rPr>
          <w:szCs w:val="24"/>
        </w:rPr>
        <w:t>Malın Adı                            :YANGIN SÖNDÜRME TÜPÜ</w:t>
      </w:r>
    </w:p>
    <w:p w:rsidR="0091308A" w:rsidRDefault="0091308A" w:rsidP="0091308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7"/>
        <w:gridCol w:w="2430"/>
        <w:gridCol w:w="850"/>
        <w:gridCol w:w="851"/>
        <w:gridCol w:w="2416"/>
        <w:gridCol w:w="1944"/>
      </w:tblGrid>
      <w:tr w:rsidR="00334A5B" w:rsidTr="00992FBF">
        <w:tc>
          <w:tcPr>
            <w:tcW w:w="797" w:type="dxa"/>
          </w:tcPr>
          <w:p w:rsidR="00334A5B" w:rsidRPr="00AF253C" w:rsidRDefault="00334A5B" w:rsidP="00AF253C">
            <w:pPr>
              <w:jc w:val="center"/>
              <w:rPr>
                <w:sz w:val="22"/>
                <w:szCs w:val="24"/>
              </w:rPr>
            </w:pPr>
          </w:p>
        </w:tc>
        <w:tc>
          <w:tcPr>
            <w:tcW w:w="4131" w:type="dxa"/>
            <w:gridSpan w:val="3"/>
          </w:tcPr>
          <w:p w:rsidR="00334A5B" w:rsidRPr="00AF253C" w:rsidRDefault="00334A5B" w:rsidP="00334A5B">
            <w:pPr>
              <w:tabs>
                <w:tab w:val="left" w:pos="480"/>
                <w:tab w:val="center" w:pos="611"/>
              </w:tabs>
              <w:jc w:val="center"/>
              <w:rPr>
                <w:sz w:val="22"/>
                <w:szCs w:val="24"/>
              </w:rPr>
            </w:pPr>
            <w:r w:rsidRPr="00AF253C">
              <w:rPr>
                <w:sz w:val="22"/>
                <w:szCs w:val="24"/>
              </w:rPr>
              <w:t>A</w:t>
            </w:r>
          </w:p>
        </w:tc>
        <w:tc>
          <w:tcPr>
            <w:tcW w:w="4360" w:type="dxa"/>
            <w:gridSpan w:val="2"/>
          </w:tcPr>
          <w:p w:rsidR="00334A5B" w:rsidRPr="00AF253C" w:rsidRDefault="00334A5B" w:rsidP="00334A5B">
            <w:pPr>
              <w:rPr>
                <w:sz w:val="22"/>
                <w:szCs w:val="24"/>
              </w:rPr>
            </w:pPr>
            <w:r>
              <w:rPr>
                <w:sz w:val="22"/>
                <w:szCs w:val="24"/>
              </w:rPr>
              <w:tab/>
            </w:r>
            <w:r>
              <w:rPr>
                <w:sz w:val="22"/>
                <w:szCs w:val="24"/>
              </w:rPr>
              <w:tab/>
            </w:r>
            <w:r w:rsidRPr="00AF253C">
              <w:rPr>
                <w:sz w:val="22"/>
                <w:szCs w:val="24"/>
              </w:rPr>
              <w:t>B</w:t>
            </w:r>
          </w:p>
        </w:tc>
      </w:tr>
      <w:tr w:rsidR="0091308A" w:rsidTr="00992FBF">
        <w:tc>
          <w:tcPr>
            <w:tcW w:w="797" w:type="dxa"/>
          </w:tcPr>
          <w:p w:rsidR="0091308A" w:rsidRPr="00AF253C" w:rsidRDefault="0091308A" w:rsidP="00AF253C">
            <w:pPr>
              <w:jc w:val="center"/>
              <w:rPr>
                <w:sz w:val="22"/>
                <w:szCs w:val="24"/>
              </w:rPr>
            </w:pPr>
            <w:r w:rsidRPr="00AF253C">
              <w:rPr>
                <w:sz w:val="22"/>
                <w:szCs w:val="24"/>
              </w:rPr>
              <w:t>Sıra No</w:t>
            </w:r>
          </w:p>
        </w:tc>
        <w:tc>
          <w:tcPr>
            <w:tcW w:w="2430" w:type="dxa"/>
          </w:tcPr>
          <w:p w:rsidR="0091308A" w:rsidRPr="00AF253C" w:rsidRDefault="0091308A" w:rsidP="00AF253C">
            <w:pPr>
              <w:jc w:val="center"/>
              <w:rPr>
                <w:sz w:val="22"/>
                <w:szCs w:val="24"/>
              </w:rPr>
            </w:pPr>
            <w:r w:rsidRPr="00AF253C">
              <w:rPr>
                <w:sz w:val="22"/>
                <w:szCs w:val="24"/>
              </w:rPr>
              <w:t>Mal Kaleminin Adı ve Kısa Açıklaması</w:t>
            </w:r>
          </w:p>
        </w:tc>
        <w:tc>
          <w:tcPr>
            <w:tcW w:w="850" w:type="dxa"/>
          </w:tcPr>
          <w:p w:rsidR="0091308A" w:rsidRPr="00AF253C" w:rsidRDefault="0091308A" w:rsidP="00AF253C">
            <w:pPr>
              <w:jc w:val="center"/>
              <w:rPr>
                <w:sz w:val="22"/>
                <w:szCs w:val="24"/>
              </w:rPr>
            </w:pPr>
            <w:r w:rsidRPr="00AF253C">
              <w:rPr>
                <w:sz w:val="22"/>
                <w:szCs w:val="24"/>
              </w:rPr>
              <w:t>Birimi</w:t>
            </w:r>
          </w:p>
        </w:tc>
        <w:tc>
          <w:tcPr>
            <w:tcW w:w="851" w:type="dxa"/>
          </w:tcPr>
          <w:p w:rsidR="0091308A" w:rsidRPr="00AF253C" w:rsidRDefault="0091308A" w:rsidP="00AF253C">
            <w:pPr>
              <w:jc w:val="center"/>
              <w:rPr>
                <w:sz w:val="22"/>
                <w:szCs w:val="24"/>
              </w:rPr>
            </w:pPr>
            <w:r w:rsidRPr="00AF253C">
              <w:rPr>
                <w:sz w:val="22"/>
                <w:szCs w:val="24"/>
              </w:rPr>
              <w:t>Miktarı</w:t>
            </w:r>
          </w:p>
        </w:tc>
        <w:tc>
          <w:tcPr>
            <w:tcW w:w="2416" w:type="dxa"/>
          </w:tcPr>
          <w:p w:rsidR="0091308A" w:rsidRPr="00AF253C" w:rsidRDefault="0091308A" w:rsidP="00AF253C">
            <w:pPr>
              <w:jc w:val="center"/>
              <w:rPr>
                <w:sz w:val="22"/>
                <w:szCs w:val="24"/>
              </w:rPr>
            </w:pPr>
            <w:r w:rsidRPr="00AF253C">
              <w:rPr>
                <w:sz w:val="22"/>
                <w:szCs w:val="24"/>
              </w:rPr>
              <w:t>Teklif Edilen Birim Fiyat (Para birimi belirtilerek)</w:t>
            </w:r>
          </w:p>
        </w:tc>
        <w:tc>
          <w:tcPr>
            <w:tcW w:w="1944" w:type="dxa"/>
          </w:tcPr>
          <w:p w:rsidR="0091308A" w:rsidRPr="00AF253C" w:rsidRDefault="0091308A" w:rsidP="00AF253C">
            <w:pPr>
              <w:jc w:val="center"/>
              <w:rPr>
                <w:sz w:val="22"/>
                <w:szCs w:val="24"/>
              </w:rPr>
            </w:pPr>
            <w:r w:rsidRPr="00AF253C">
              <w:rPr>
                <w:sz w:val="22"/>
                <w:szCs w:val="24"/>
              </w:rPr>
              <w:t>Tutarı (Para birimi belirtilerek)</w:t>
            </w:r>
          </w:p>
        </w:tc>
      </w:tr>
      <w:tr w:rsidR="0091308A" w:rsidTr="00992FBF">
        <w:tc>
          <w:tcPr>
            <w:tcW w:w="797" w:type="dxa"/>
          </w:tcPr>
          <w:p w:rsidR="0091308A" w:rsidRPr="00AF253C" w:rsidRDefault="00D54441" w:rsidP="0091308A">
            <w:pPr>
              <w:rPr>
                <w:sz w:val="22"/>
                <w:szCs w:val="24"/>
              </w:rPr>
            </w:pPr>
            <w:r>
              <w:rPr>
                <w:sz w:val="22"/>
                <w:szCs w:val="24"/>
              </w:rPr>
              <w:t>1</w:t>
            </w:r>
          </w:p>
        </w:tc>
        <w:tc>
          <w:tcPr>
            <w:tcW w:w="2430" w:type="dxa"/>
          </w:tcPr>
          <w:p w:rsidR="0091308A" w:rsidRPr="00AF253C" w:rsidRDefault="00992FBF" w:rsidP="0091308A">
            <w:pPr>
              <w:rPr>
                <w:sz w:val="22"/>
                <w:szCs w:val="24"/>
              </w:rPr>
            </w:pPr>
            <w:r>
              <w:rPr>
                <w:sz w:val="22"/>
                <w:szCs w:val="24"/>
              </w:rPr>
              <w:t>TOZLU KİMYEVİ YANGIN SÖNDÜRME TÜPÜ</w:t>
            </w:r>
          </w:p>
        </w:tc>
        <w:tc>
          <w:tcPr>
            <w:tcW w:w="850" w:type="dxa"/>
          </w:tcPr>
          <w:p w:rsidR="0091308A" w:rsidRPr="00AF253C" w:rsidRDefault="0091308A" w:rsidP="0091308A">
            <w:pPr>
              <w:rPr>
                <w:sz w:val="22"/>
                <w:szCs w:val="24"/>
              </w:rPr>
            </w:pPr>
            <w:r w:rsidRPr="00AF253C">
              <w:rPr>
                <w:sz w:val="22"/>
                <w:szCs w:val="24"/>
              </w:rPr>
              <w:t>adet</w:t>
            </w:r>
          </w:p>
        </w:tc>
        <w:tc>
          <w:tcPr>
            <w:tcW w:w="851" w:type="dxa"/>
          </w:tcPr>
          <w:p w:rsidR="0091308A" w:rsidRPr="00AF253C" w:rsidRDefault="00521D6F" w:rsidP="0091308A">
            <w:pPr>
              <w:rPr>
                <w:sz w:val="22"/>
                <w:szCs w:val="24"/>
              </w:rPr>
            </w:pPr>
            <w:r>
              <w:rPr>
                <w:sz w:val="22"/>
                <w:szCs w:val="24"/>
              </w:rPr>
              <w:t>10</w:t>
            </w:r>
          </w:p>
        </w:tc>
        <w:tc>
          <w:tcPr>
            <w:tcW w:w="2416" w:type="dxa"/>
          </w:tcPr>
          <w:p w:rsidR="0091308A" w:rsidRPr="00AF253C" w:rsidRDefault="0091308A" w:rsidP="0091308A">
            <w:pPr>
              <w:rPr>
                <w:sz w:val="22"/>
                <w:szCs w:val="24"/>
              </w:rPr>
            </w:pPr>
          </w:p>
        </w:tc>
        <w:tc>
          <w:tcPr>
            <w:tcW w:w="1944" w:type="dxa"/>
          </w:tcPr>
          <w:p w:rsidR="0091308A" w:rsidRPr="00AF253C" w:rsidRDefault="0091308A" w:rsidP="0091308A">
            <w:pPr>
              <w:rPr>
                <w:sz w:val="22"/>
                <w:szCs w:val="24"/>
              </w:rPr>
            </w:pPr>
          </w:p>
        </w:tc>
      </w:tr>
      <w:tr w:rsidR="0091308A" w:rsidTr="00992FBF">
        <w:tc>
          <w:tcPr>
            <w:tcW w:w="797" w:type="dxa"/>
          </w:tcPr>
          <w:p w:rsidR="0091308A" w:rsidRPr="00AF253C" w:rsidRDefault="00D54441" w:rsidP="0091308A">
            <w:pPr>
              <w:rPr>
                <w:sz w:val="22"/>
                <w:szCs w:val="24"/>
              </w:rPr>
            </w:pPr>
            <w:r>
              <w:rPr>
                <w:sz w:val="22"/>
                <w:szCs w:val="24"/>
              </w:rPr>
              <w:t>2</w:t>
            </w:r>
          </w:p>
        </w:tc>
        <w:tc>
          <w:tcPr>
            <w:tcW w:w="2430" w:type="dxa"/>
          </w:tcPr>
          <w:p w:rsidR="0091308A" w:rsidRPr="00AF253C" w:rsidRDefault="004D3865" w:rsidP="0091308A">
            <w:pPr>
              <w:rPr>
                <w:sz w:val="22"/>
                <w:szCs w:val="24"/>
              </w:rPr>
            </w:pPr>
            <w:r>
              <w:rPr>
                <w:sz w:val="22"/>
                <w:szCs w:val="24"/>
              </w:rPr>
              <w:t>GAZLI (CO2) YANGIN SÖNDÜRME TÜPÜ</w:t>
            </w:r>
          </w:p>
        </w:tc>
        <w:tc>
          <w:tcPr>
            <w:tcW w:w="850" w:type="dxa"/>
          </w:tcPr>
          <w:p w:rsidR="0091308A" w:rsidRPr="00AF253C" w:rsidRDefault="0091308A" w:rsidP="0091308A">
            <w:pPr>
              <w:rPr>
                <w:sz w:val="22"/>
                <w:szCs w:val="24"/>
              </w:rPr>
            </w:pPr>
            <w:r w:rsidRPr="00AF253C">
              <w:rPr>
                <w:sz w:val="22"/>
                <w:szCs w:val="24"/>
              </w:rPr>
              <w:t>adet</w:t>
            </w:r>
          </w:p>
        </w:tc>
        <w:tc>
          <w:tcPr>
            <w:tcW w:w="851" w:type="dxa"/>
          </w:tcPr>
          <w:p w:rsidR="0091308A" w:rsidRPr="00AF253C" w:rsidRDefault="00521D6F" w:rsidP="0091308A">
            <w:pPr>
              <w:rPr>
                <w:sz w:val="22"/>
                <w:szCs w:val="24"/>
              </w:rPr>
            </w:pPr>
            <w:r>
              <w:rPr>
                <w:sz w:val="22"/>
                <w:szCs w:val="24"/>
              </w:rPr>
              <w:t>3</w:t>
            </w:r>
            <w:bookmarkStart w:id="0" w:name="_GoBack"/>
            <w:bookmarkEnd w:id="0"/>
          </w:p>
        </w:tc>
        <w:tc>
          <w:tcPr>
            <w:tcW w:w="2416" w:type="dxa"/>
          </w:tcPr>
          <w:p w:rsidR="0091308A" w:rsidRPr="00AF253C" w:rsidRDefault="0091308A" w:rsidP="0091308A">
            <w:pPr>
              <w:rPr>
                <w:sz w:val="22"/>
                <w:szCs w:val="24"/>
              </w:rPr>
            </w:pPr>
          </w:p>
        </w:tc>
        <w:tc>
          <w:tcPr>
            <w:tcW w:w="1944" w:type="dxa"/>
          </w:tcPr>
          <w:p w:rsidR="0091308A" w:rsidRPr="00AF253C" w:rsidRDefault="0091308A" w:rsidP="0091308A">
            <w:pPr>
              <w:rPr>
                <w:sz w:val="22"/>
                <w:szCs w:val="24"/>
              </w:rPr>
            </w:pPr>
          </w:p>
        </w:tc>
      </w:tr>
      <w:tr w:rsidR="000938DF" w:rsidTr="00992FBF">
        <w:tc>
          <w:tcPr>
            <w:tcW w:w="7344" w:type="dxa"/>
            <w:gridSpan w:val="5"/>
          </w:tcPr>
          <w:p w:rsidR="000938DF" w:rsidRPr="00AF253C" w:rsidRDefault="000938DF" w:rsidP="00AF253C">
            <w:pPr>
              <w:jc w:val="center"/>
              <w:rPr>
                <w:sz w:val="22"/>
                <w:szCs w:val="24"/>
              </w:rPr>
            </w:pPr>
            <w:r w:rsidRPr="00AF253C">
              <w:rPr>
                <w:sz w:val="22"/>
                <w:szCs w:val="24"/>
              </w:rPr>
              <w:t>Toplam Tutar (K.D.V Hariç)</w:t>
            </w:r>
          </w:p>
        </w:tc>
        <w:tc>
          <w:tcPr>
            <w:tcW w:w="1944" w:type="dxa"/>
          </w:tcPr>
          <w:p w:rsidR="000938DF" w:rsidRPr="00AF253C" w:rsidRDefault="000938DF" w:rsidP="0091308A">
            <w:pPr>
              <w:rPr>
                <w:sz w:val="22"/>
                <w:szCs w:val="24"/>
              </w:rPr>
            </w:pPr>
          </w:p>
        </w:tc>
      </w:tr>
    </w:tbl>
    <w:p w:rsidR="003478E1" w:rsidRDefault="003478E1" w:rsidP="00EE3768">
      <w:pPr>
        <w:jc w:val="both"/>
        <w:rPr>
          <w:sz w:val="20"/>
        </w:rPr>
      </w:pPr>
    </w:p>
    <w:p w:rsidR="00260231" w:rsidRPr="0029799C" w:rsidRDefault="00260231" w:rsidP="00260231">
      <w:pPr>
        <w:tabs>
          <w:tab w:val="left" w:pos="6390"/>
        </w:tabs>
      </w:pPr>
      <w:r w:rsidRPr="0029799C">
        <w:tab/>
      </w:r>
    </w:p>
    <w:tbl>
      <w:tblPr>
        <w:tblW w:w="3489" w:type="dxa"/>
        <w:jc w:val="right"/>
        <w:tblBorders>
          <w:insideV w:val="single" w:sz="6" w:space="0" w:color="auto"/>
        </w:tblBorders>
        <w:tblLayout w:type="fixed"/>
        <w:tblCellMar>
          <w:left w:w="70" w:type="dxa"/>
          <w:right w:w="70" w:type="dxa"/>
        </w:tblCellMar>
        <w:tblLook w:val="0000" w:firstRow="0" w:lastRow="0" w:firstColumn="0" w:lastColumn="0" w:noHBand="0" w:noVBand="0"/>
      </w:tblPr>
      <w:tblGrid>
        <w:gridCol w:w="3489"/>
      </w:tblGrid>
      <w:tr w:rsidR="00260231" w:rsidRPr="0029799C" w:rsidTr="002966DD">
        <w:trPr>
          <w:trHeight w:val="284"/>
          <w:jc w:val="right"/>
        </w:trPr>
        <w:tc>
          <w:tcPr>
            <w:tcW w:w="3489" w:type="dxa"/>
          </w:tcPr>
          <w:p w:rsidR="00260231" w:rsidRPr="0029799C" w:rsidRDefault="00260231" w:rsidP="00E917AD">
            <w:pPr>
              <w:ind w:right="-5220"/>
              <w:jc w:val="both"/>
              <w:rPr>
                <w:sz w:val="22"/>
                <w:vertAlign w:val="superscript"/>
              </w:rPr>
            </w:pPr>
            <w:r w:rsidRPr="0029799C">
              <w:t>Adı - SOYADI / Ticaret unvanı</w:t>
            </w:r>
          </w:p>
        </w:tc>
      </w:tr>
      <w:tr w:rsidR="00260231" w:rsidRPr="0029799C" w:rsidTr="002966DD">
        <w:trPr>
          <w:trHeight w:val="263"/>
          <w:jc w:val="right"/>
        </w:trPr>
        <w:tc>
          <w:tcPr>
            <w:tcW w:w="3489" w:type="dxa"/>
          </w:tcPr>
          <w:p w:rsidR="00260231" w:rsidRPr="0029799C" w:rsidRDefault="00260231" w:rsidP="00E917AD">
            <w:pPr>
              <w:jc w:val="both"/>
              <w:rPr>
                <w:sz w:val="22"/>
              </w:rPr>
            </w:pPr>
            <w:r w:rsidRPr="0029799C">
              <w:t xml:space="preserve">Kaşe ve İmza </w:t>
            </w:r>
          </w:p>
        </w:tc>
      </w:tr>
    </w:tbl>
    <w:p w:rsidR="00131AD7" w:rsidRDefault="00D432E1" w:rsidP="00260231">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7749"/>
      </w:tblGrid>
      <w:tr w:rsidR="00D432E1" w:rsidTr="007F58EF">
        <w:trPr>
          <w:trHeight w:val="258"/>
        </w:trPr>
        <w:tc>
          <w:tcPr>
            <w:tcW w:w="9320" w:type="dxa"/>
            <w:gridSpan w:val="2"/>
            <w:tcBorders>
              <w:top w:val="single" w:sz="4" w:space="0" w:color="auto"/>
              <w:left w:val="single" w:sz="4" w:space="0" w:color="auto"/>
              <w:bottom w:val="single" w:sz="4" w:space="0" w:color="auto"/>
              <w:right w:val="single" w:sz="4" w:space="0" w:color="auto"/>
            </w:tcBorders>
            <w:hideMark/>
          </w:tcPr>
          <w:p w:rsidR="00D432E1" w:rsidRDefault="00D432E1" w:rsidP="007F58EF">
            <w:r>
              <w:t>TEKLİF VERİLEBİLECEK ADRESLER:</w:t>
            </w:r>
          </w:p>
        </w:tc>
      </w:tr>
      <w:tr w:rsidR="00D432E1" w:rsidTr="007F58EF">
        <w:trPr>
          <w:trHeight w:val="531"/>
        </w:trPr>
        <w:tc>
          <w:tcPr>
            <w:tcW w:w="1571" w:type="dxa"/>
            <w:tcBorders>
              <w:top w:val="single" w:sz="4" w:space="0" w:color="auto"/>
              <w:left w:val="single" w:sz="4" w:space="0" w:color="auto"/>
              <w:bottom w:val="single" w:sz="4" w:space="0" w:color="auto"/>
              <w:right w:val="single" w:sz="4" w:space="0" w:color="auto"/>
            </w:tcBorders>
            <w:hideMark/>
          </w:tcPr>
          <w:p w:rsidR="00D432E1" w:rsidRDefault="00D432E1" w:rsidP="007F58EF">
            <w:r>
              <w:t>Adres</w:t>
            </w:r>
          </w:p>
        </w:tc>
        <w:tc>
          <w:tcPr>
            <w:tcW w:w="7749" w:type="dxa"/>
            <w:tcBorders>
              <w:top w:val="single" w:sz="4" w:space="0" w:color="auto"/>
              <w:left w:val="single" w:sz="4" w:space="0" w:color="auto"/>
              <w:bottom w:val="single" w:sz="4" w:space="0" w:color="auto"/>
              <w:right w:val="single" w:sz="4" w:space="0" w:color="auto"/>
            </w:tcBorders>
            <w:hideMark/>
          </w:tcPr>
          <w:p w:rsidR="00D432E1" w:rsidRDefault="00D432E1" w:rsidP="007F58EF">
            <w:r>
              <w:t>Uşak Üniversitesi Diş Hekimliği Fakültesi</w:t>
            </w:r>
          </w:p>
          <w:p w:rsidR="00D432E1" w:rsidRDefault="00D432E1" w:rsidP="007F58EF">
            <w:r>
              <w:t>Cumhuriyet Mh. Kolej Sk. No:3  Uşak</w:t>
            </w:r>
          </w:p>
        </w:tc>
      </w:tr>
      <w:tr w:rsidR="00D432E1" w:rsidTr="007F58EF">
        <w:trPr>
          <w:trHeight w:val="258"/>
        </w:trPr>
        <w:tc>
          <w:tcPr>
            <w:tcW w:w="1571" w:type="dxa"/>
            <w:tcBorders>
              <w:top w:val="single" w:sz="4" w:space="0" w:color="auto"/>
              <w:left w:val="single" w:sz="4" w:space="0" w:color="auto"/>
              <w:bottom w:val="single" w:sz="4" w:space="0" w:color="auto"/>
              <w:right w:val="single" w:sz="4" w:space="0" w:color="auto"/>
            </w:tcBorders>
            <w:hideMark/>
          </w:tcPr>
          <w:p w:rsidR="00D432E1" w:rsidRDefault="00D432E1" w:rsidP="007F58EF">
            <w:r>
              <w:t>Telefon</w:t>
            </w:r>
          </w:p>
        </w:tc>
        <w:tc>
          <w:tcPr>
            <w:tcW w:w="7749" w:type="dxa"/>
            <w:tcBorders>
              <w:top w:val="single" w:sz="4" w:space="0" w:color="auto"/>
              <w:left w:val="single" w:sz="4" w:space="0" w:color="auto"/>
              <w:bottom w:val="single" w:sz="4" w:space="0" w:color="auto"/>
              <w:right w:val="single" w:sz="4" w:space="0" w:color="auto"/>
            </w:tcBorders>
            <w:hideMark/>
          </w:tcPr>
          <w:p w:rsidR="00D432E1" w:rsidRDefault="00D432E1" w:rsidP="007F58EF">
            <w:r>
              <w:t>0276 221 21 21- 5821</w:t>
            </w:r>
          </w:p>
        </w:tc>
      </w:tr>
      <w:tr w:rsidR="00D432E1" w:rsidTr="007F58EF">
        <w:trPr>
          <w:trHeight w:val="243"/>
        </w:trPr>
        <w:tc>
          <w:tcPr>
            <w:tcW w:w="1571" w:type="dxa"/>
            <w:tcBorders>
              <w:top w:val="single" w:sz="4" w:space="0" w:color="auto"/>
              <w:left w:val="single" w:sz="4" w:space="0" w:color="auto"/>
              <w:bottom w:val="single" w:sz="4" w:space="0" w:color="auto"/>
              <w:right w:val="single" w:sz="4" w:space="0" w:color="auto"/>
            </w:tcBorders>
            <w:hideMark/>
          </w:tcPr>
          <w:p w:rsidR="00D432E1" w:rsidRDefault="00D432E1" w:rsidP="007F58EF">
            <w:r>
              <w:t>e-posta</w:t>
            </w:r>
          </w:p>
        </w:tc>
        <w:tc>
          <w:tcPr>
            <w:tcW w:w="7749" w:type="dxa"/>
            <w:tcBorders>
              <w:top w:val="single" w:sz="4" w:space="0" w:color="auto"/>
              <w:left w:val="single" w:sz="4" w:space="0" w:color="auto"/>
              <w:bottom w:val="single" w:sz="4" w:space="0" w:color="auto"/>
              <w:right w:val="single" w:sz="4" w:space="0" w:color="auto"/>
            </w:tcBorders>
            <w:hideMark/>
          </w:tcPr>
          <w:p w:rsidR="00D432E1" w:rsidRDefault="004F43AB" w:rsidP="007F58EF">
            <w:hyperlink r:id="rId7" w:history="1">
              <w:r w:rsidR="00D432E1">
                <w:rPr>
                  <w:rStyle w:val="Kpr"/>
                  <w:color w:val="0563C1"/>
                </w:rPr>
                <w:t>dishekimligi@usak.edu.tr</w:t>
              </w:r>
            </w:hyperlink>
          </w:p>
        </w:tc>
      </w:tr>
    </w:tbl>
    <w:p w:rsidR="00D432E1" w:rsidRDefault="00D432E1" w:rsidP="00D432E1"/>
    <w:p w:rsidR="00D432E1" w:rsidRDefault="00D432E1" w:rsidP="00D432E1">
      <w:pPr>
        <w:rPr>
          <w:sz w:val="22"/>
          <w:szCs w:val="22"/>
        </w:rPr>
      </w:pPr>
      <w:r>
        <w:rPr>
          <w:b/>
          <w:sz w:val="22"/>
          <w:szCs w:val="22"/>
        </w:rPr>
        <w:t>NOT:</w:t>
      </w:r>
      <w:r>
        <w:rPr>
          <w:sz w:val="20"/>
        </w:rPr>
        <w:t xml:space="preserve">         </w:t>
      </w:r>
      <w:r>
        <w:rPr>
          <w:sz w:val="20"/>
        </w:rPr>
        <w:br/>
      </w:r>
      <w:r>
        <w:rPr>
          <w:sz w:val="22"/>
          <w:szCs w:val="22"/>
        </w:rPr>
        <w:t>1- Teklif mektupları kaşeli ve imzalı olacaktır.</w:t>
      </w:r>
    </w:p>
    <w:p w:rsidR="00D432E1" w:rsidRDefault="00D432E1" w:rsidP="00D432E1">
      <w:pPr>
        <w:rPr>
          <w:sz w:val="22"/>
          <w:szCs w:val="22"/>
        </w:rPr>
      </w:pPr>
      <w:r>
        <w:rPr>
          <w:sz w:val="22"/>
          <w:szCs w:val="22"/>
        </w:rPr>
        <w:t>2- Ödeme esnasında % 0,948 oranında KDV hariç tutar üzerinden Damga Vergisi kesilecektir.</w:t>
      </w:r>
    </w:p>
    <w:p w:rsidR="00D432E1" w:rsidRDefault="00D432E1" w:rsidP="00D432E1">
      <w:pPr>
        <w:rPr>
          <w:sz w:val="22"/>
          <w:szCs w:val="22"/>
        </w:rPr>
      </w:pPr>
      <w:r>
        <w:rPr>
          <w:sz w:val="22"/>
          <w:szCs w:val="22"/>
        </w:rPr>
        <w:t>3- Nakliye, hamaliye, işçilik vb. giderler yükleniciye aittir.</w:t>
      </w:r>
    </w:p>
    <w:p w:rsidR="00D432E1" w:rsidRDefault="00D432E1" w:rsidP="00D432E1">
      <w:pPr>
        <w:rPr>
          <w:sz w:val="22"/>
          <w:szCs w:val="22"/>
        </w:rPr>
      </w:pPr>
      <w:r>
        <w:rPr>
          <w:sz w:val="22"/>
          <w:szCs w:val="22"/>
        </w:rPr>
        <w:t>4- Mal/Hizmetin tamamına teklif esastır.</w:t>
      </w:r>
    </w:p>
    <w:p w:rsidR="00D432E1" w:rsidRDefault="00D432E1" w:rsidP="00D432E1">
      <w:pPr>
        <w:tabs>
          <w:tab w:val="left" w:pos="284"/>
          <w:tab w:val="left" w:pos="567"/>
        </w:tabs>
        <w:rPr>
          <w:sz w:val="22"/>
          <w:szCs w:val="22"/>
        </w:rPr>
      </w:pPr>
      <w:r>
        <w:rPr>
          <w:sz w:val="22"/>
          <w:szCs w:val="22"/>
        </w:rPr>
        <w:t>5- Hizmetlerde ve Bakım-Onarım alımlarında KDV tevkifatı uygulanacaktır.</w:t>
      </w:r>
    </w:p>
    <w:p w:rsidR="00D432E1" w:rsidRDefault="00D432E1" w:rsidP="00D432E1">
      <w:pPr>
        <w:rPr>
          <w:sz w:val="22"/>
          <w:szCs w:val="22"/>
        </w:rPr>
      </w:pPr>
      <w:r>
        <w:rPr>
          <w:sz w:val="22"/>
          <w:szCs w:val="22"/>
        </w:rPr>
        <w:t>6-Teknik şartnameye uygun olmayan ve muayene kabulü yapılmayan mal/hizmetler kabul edilmeyecektir.</w:t>
      </w:r>
    </w:p>
    <w:p w:rsidR="00D432E1" w:rsidRDefault="00D432E1" w:rsidP="00D432E1">
      <w:pPr>
        <w:rPr>
          <w:sz w:val="22"/>
          <w:szCs w:val="22"/>
        </w:rPr>
      </w:pPr>
      <w:r>
        <w:rPr>
          <w:sz w:val="22"/>
          <w:szCs w:val="22"/>
        </w:rPr>
        <w:t>7-Teklif veren firmalar vermiş olduğu teklif ile birlikte teknik şartnameyi kabul ve taahhüt etmiş sayılır.</w:t>
      </w:r>
    </w:p>
    <w:p w:rsidR="00D432E1" w:rsidRDefault="00D432E1" w:rsidP="00D432E1">
      <w:pPr>
        <w:rPr>
          <w:sz w:val="22"/>
          <w:szCs w:val="22"/>
        </w:rPr>
      </w:pPr>
      <w:r>
        <w:rPr>
          <w:sz w:val="22"/>
          <w:szCs w:val="22"/>
        </w:rPr>
        <w:t>8-Teklifler Türk Lirası üzerinden ve KDV hariç verilecektir.</w:t>
      </w:r>
    </w:p>
    <w:p w:rsidR="00D432E1" w:rsidRDefault="0073175C" w:rsidP="00D432E1">
      <w:pPr>
        <w:tabs>
          <w:tab w:val="left" w:pos="7065"/>
        </w:tabs>
        <w:rPr>
          <w:sz w:val="22"/>
          <w:szCs w:val="22"/>
        </w:rPr>
      </w:pPr>
      <w:r>
        <w:rPr>
          <w:sz w:val="22"/>
          <w:szCs w:val="22"/>
        </w:rPr>
        <w:t>9-Teklif verme süresi 17</w:t>
      </w:r>
      <w:r w:rsidR="00D432E1">
        <w:rPr>
          <w:sz w:val="22"/>
          <w:szCs w:val="22"/>
        </w:rPr>
        <w:t>.09.2021 saat 10:00’ a kadardır.</w:t>
      </w:r>
    </w:p>
    <w:p w:rsidR="00D432E1" w:rsidRPr="00992FBF" w:rsidRDefault="00D432E1" w:rsidP="00D432E1">
      <w:pPr>
        <w:tabs>
          <w:tab w:val="left" w:pos="7065"/>
        </w:tabs>
        <w:rPr>
          <w:szCs w:val="22"/>
        </w:rPr>
      </w:pPr>
    </w:p>
    <w:p w:rsidR="00D432E1" w:rsidRDefault="004D3865" w:rsidP="00D432E1">
      <w:pPr>
        <w:tabs>
          <w:tab w:val="left" w:pos="7065"/>
        </w:tabs>
        <w:rPr>
          <w:b/>
          <w:szCs w:val="22"/>
        </w:rPr>
      </w:pPr>
      <w:r>
        <w:rPr>
          <w:b/>
          <w:szCs w:val="22"/>
        </w:rPr>
        <w:t xml:space="preserve">GENEL </w:t>
      </w:r>
      <w:r w:rsidR="00D432E1" w:rsidRPr="00992FBF">
        <w:rPr>
          <w:b/>
          <w:szCs w:val="22"/>
        </w:rPr>
        <w:t>TEKNİK ŞARTNAME</w:t>
      </w:r>
      <w:r>
        <w:rPr>
          <w:b/>
          <w:szCs w:val="22"/>
        </w:rPr>
        <w:t xml:space="preserve"> DETAYLARI</w:t>
      </w:r>
    </w:p>
    <w:p w:rsidR="004D3865" w:rsidRPr="009369BF" w:rsidRDefault="004D3865" w:rsidP="00D432E1">
      <w:pPr>
        <w:tabs>
          <w:tab w:val="left" w:pos="7065"/>
        </w:tabs>
        <w:rPr>
          <w:szCs w:val="22"/>
        </w:rPr>
      </w:pPr>
      <w:r w:rsidRPr="009369BF">
        <w:rPr>
          <w:szCs w:val="22"/>
        </w:rPr>
        <w:t>*</w:t>
      </w:r>
      <w:r w:rsidR="009369BF" w:rsidRPr="009369BF">
        <w:rPr>
          <w:szCs w:val="22"/>
        </w:rPr>
        <w:t>İstekli adına düzenlenmiş Sanayi Ticaret Odası kaydı olduğuna dair evrak vermeli</w:t>
      </w:r>
    </w:p>
    <w:p w:rsidR="009369BF" w:rsidRDefault="009369BF" w:rsidP="00D432E1">
      <w:pPr>
        <w:tabs>
          <w:tab w:val="left" w:pos="7065"/>
        </w:tabs>
        <w:rPr>
          <w:szCs w:val="22"/>
        </w:rPr>
      </w:pPr>
      <w:r>
        <w:rPr>
          <w:szCs w:val="22"/>
        </w:rPr>
        <w:t>*Söndürme maddesi, cihaz ve ekipmanların TS EN 615, ISO, CE standart belgelerininve Bayilik Sözleşmesinin örneği idareye verilecek.</w:t>
      </w:r>
    </w:p>
    <w:p w:rsidR="009369BF" w:rsidRDefault="009369BF" w:rsidP="00D432E1">
      <w:pPr>
        <w:tabs>
          <w:tab w:val="left" w:pos="7065"/>
        </w:tabs>
        <w:rPr>
          <w:szCs w:val="22"/>
        </w:rPr>
      </w:pPr>
      <w:r>
        <w:rPr>
          <w:szCs w:val="22"/>
        </w:rPr>
        <w:t>*Alım, dolum, bakım ve kontrol işlemleri şirketin yetkili bir görevlisi tarafından 6 ayda bir yapılacak.</w:t>
      </w:r>
    </w:p>
    <w:p w:rsidR="009369BF" w:rsidRDefault="009369BF" w:rsidP="00D432E1">
      <w:pPr>
        <w:tabs>
          <w:tab w:val="left" w:pos="7065"/>
        </w:tabs>
        <w:rPr>
          <w:szCs w:val="22"/>
        </w:rPr>
      </w:pPr>
      <w:r>
        <w:rPr>
          <w:szCs w:val="22"/>
        </w:rPr>
        <w:t>*Satım, dolum, bakım ve kontrollerini yaptığı cihazların veya parçaların, bozulmamasına, deforme olmamasına, özelliğini kaybetmemesi, yangını söndürmesi, ilektrik iletmemesi, insan ve çevreye zarar vermemesi, kendinden boşaltım yapmaması gibi hususları kapsayan4 yıllık Garanti Belgesi veya Satış sorası Hizmet Belgesi vermelidir.</w:t>
      </w:r>
    </w:p>
    <w:p w:rsidR="009369BF" w:rsidRDefault="009369BF" w:rsidP="00D432E1">
      <w:pPr>
        <w:tabs>
          <w:tab w:val="left" w:pos="7065"/>
        </w:tabs>
        <w:rPr>
          <w:szCs w:val="22"/>
        </w:rPr>
      </w:pPr>
      <w:r>
        <w:rPr>
          <w:szCs w:val="22"/>
        </w:rPr>
        <w:lastRenderedPageBreak/>
        <w:t>*ABC Kuru Kimyevi Toz Dolumu MAP oranı en az %40 olmalıdır.</w:t>
      </w:r>
    </w:p>
    <w:p w:rsidR="009369BF" w:rsidRDefault="009369BF" w:rsidP="00D432E1">
      <w:pPr>
        <w:tabs>
          <w:tab w:val="left" w:pos="7065"/>
        </w:tabs>
        <w:rPr>
          <w:szCs w:val="22"/>
        </w:rPr>
      </w:pPr>
      <w:r>
        <w:rPr>
          <w:szCs w:val="22"/>
        </w:rPr>
        <w:t>*Karbondioksit (CO2) Gazı Dolumu saflık oranı en az %99,5 olmalıdır.</w:t>
      </w:r>
    </w:p>
    <w:p w:rsidR="009369BF" w:rsidRPr="009369BF" w:rsidRDefault="009369BF" w:rsidP="00D432E1">
      <w:pPr>
        <w:tabs>
          <w:tab w:val="left" w:pos="7065"/>
        </w:tabs>
        <w:rPr>
          <w:szCs w:val="22"/>
        </w:rPr>
      </w:pPr>
    </w:p>
    <w:p w:rsidR="00992FBF" w:rsidRPr="00992FBF" w:rsidRDefault="00992FBF" w:rsidP="00D432E1">
      <w:pPr>
        <w:tabs>
          <w:tab w:val="left" w:pos="7065"/>
        </w:tabs>
        <w:rPr>
          <w:b/>
          <w:szCs w:val="22"/>
        </w:rPr>
      </w:pPr>
    </w:p>
    <w:p w:rsidR="00D432E1" w:rsidRDefault="00992FBF" w:rsidP="00260231">
      <w:pPr>
        <w:rPr>
          <w:b/>
          <w:color w:val="000000"/>
          <w:sz w:val="28"/>
        </w:rPr>
      </w:pPr>
      <w:r w:rsidRPr="00992FBF">
        <w:rPr>
          <w:b/>
          <w:szCs w:val="24"/>
        </w:rPr>
        <w:t>TOZLU KİMYEVİ YANGIN SÖNDÜRME TÜPÜ</w:t>
      </w:r>
      <w:r w:rsidRPr="00992FBF">
        <w:rPr>
          <w:b/>
          <w:color w:val="000000"/>
          <w:sz w:val="28"/>
        </w:rPr>
        <w:t xml:space="preserve"> </w:t>
      </w:r>
    </w:p>
    <w:p w:rsidR="00992FBF" w:rsidRDefault="00992FBF" w:rsidP="00992FBF">
      <w:r>
        <w:rPr>
          <w:color w:val="000000"/>
          <w:sz w:val="28"/>
        </w:rPr>
        <w:t>*</w:t>
      </w:r>
      <w:r>
        <w:t>Söndürme maddesi miktarı: 6 kg</w:t>
      </w:r>
    </w:p>
    <w:p w:rsidR="00992FBF" w:rsidRDefault="00992FBF" w:rsidP="00992FBF">
      <w:r>
        <w:t>*Cihazlar, 97/23/AT Basınçlı Ekipmanlar Direktifine göre AT Tip İnceleme Belgesine ve TS 862-7 EN 3-7+A1’de (elde taşınabilen yangın söndürücüler için) belirtilen norm ve standartlara sahip olacaktır.</w:t>
      </w:r>
    </w:p>
    <w:p w:rsidR="00992FBF" w:rsidRDefault="00992FBF" w:rsidP="00992FBF">
      <w:r>
        <w:t>*Yangın türü: A-B-C</w:t>
      </w:r>
    </w:p>
    <w:p w:rsidR="00992FBF" w:rsidRDefault="00992FBF" w:rsidP="00992FBF">
      <w:r>
        <w:t>*Kapanma kabiliyeti tetik tertibatlı (açıldıktan sonra kendi kendini kapatan valf donanımlı) olacaktır.</w:t>
      </w:r>
    </w:p>
    <w:p w:rsidR="00992FBF" w:rsidRDefault="00992FBF" w:rsidP="00992FBF">
      <w:r>
        <w:t>*Söndürücü tüpü TS EN 13322-1’de belirtilen özelliklerde olacaktır.</w:t>
      </w:r>
    </w:p>
    <w:p w:rsidR="00992FBF" w:rsidRDefault="00992FBF" w:rsidP="00992FBF">
      <w:r>
        <w:t>*Cihaz gövdesi üzerinde; üretici firma adı, standart işaretleri (TSE, CE), söndürme maddesi markası, seri numarası ve üretim tarihi, üretici firmaya ait emniyet mührü, test ve kullanma basınç değerleri yazılmış olacaktır. Hortum üzerinde TS EN ISO 5774 işaretleri olacaktır.</w:t>
      </w:r>
    </w:p>
    <w:p w:rsidR="00992FBF" w:rsidRDefault="00992FBF" w:rsidP="00992FBF">
      <w:r>
        <w:t>*Cihazların gövde yüzeyleri paslanmaya karşı astarlanarak dış etkilere dayanıklı fırın boya ile kırmızı renkte boyanmış olacaktır.</w:t>
      </w:r>
    </w:p>
    <w:p w:rsidR="00992FBF" w:rsidRDefault="0073175C" w:rsidP="00992FBF">
      <w:r>
        <w:t>*</w:t>
      </w:r>
      <w:r w:rsidR="00992FBF">
        <w:t xml:space="preserve">Teslim eden şirket etiket ve kullanım </w:t>
      </w:r>
      <w:r>
        <w:t>kılavuzunu</w:t>
      </w:r>
      <w:r w:rsidR="00992FBF">
        <w:t xml:space="preserve"> en az A4 büyüklüğünde pleksi veya su geçirmez malzemeye basılı halde her tüp için verecektir.</w:t>
      </w:r>
    </w:p>
    <w:p w:rsidR="00992FBF" w:rsidRDefault="0073175C" w:rsidP="00992FBF">
      <w:r>
        <w:t>*</w:t>
      </w:r>
      <w:r w:rsidR="00992FBF">
        <w:t>Ürünü teslim eden şirket her tüp için gece ve karanlıkta yerine belli eden (rimel folyo baskılı) tabela vermek zorundadır.</w:t>
      </w:r>
    </w:p>
    <w:p w:rsidR="004D3865" w:rsidRDefault="004D3865" w:rsidP="00992FBF"/>
    <w:p w:rsidR="004D3865" w:rsidRPr="004D3865" w:rsidRDefault="004D3865" w:rsidP="00992FBF">
      <w:pPr>
        <w:rPr>
          <w:b/>
          <w:szCs w:val="24"/>
        </w:rPr>
      </w:pPr>
      <w:r w:rsidRPr="004D3865">
        <w:rPr>
          <w:b/>
          <w:szCs w:val="24"/>
        </w:rPr>
        <w:t>GAZLI (CO2) YANGIN SÖNDÜRME TÜPÜ</w:t>
      </w:r>
    </w:p>
    <w:p w:rsidR="004D3865" w:rsidRDefault="0073175C" w:rsidP="0073175C">
      <w:r>
        <w:t>*</w:t>
      </w:r>
      <w:r w:rsidR="004D3865">
        <w:t>Söndürme maddesi miktarı: 5 kg</w:t>
      </w:r>
    </w:p>
    <w:p w:rsidR="0073175C" w:rsidRDefault="0073175C" w:rsidP="0073175C">
      <w:r>
        <w:t>*Cihazlar, 97/23/AT Basınçlı Ekipmanlar Direktifine göre AT Tip İnceleme Belgesine ve TS 862-7 EN 3-7+A1’de (elde taşınabilen yangın söndürücüler için) belirtilen norm ve standartlara sahip olacaktır.</w:t>
      </w:r>
    </w:p>
    <w:p w:rsidR="0073175C" w:rsidRDefault="0073175C" w:rsidP="0073175C">
      <w:r>
        <w:t>*Yangın türü: A-B-C</w:t>
      </w:r>
    </w:p>
    <w:p w:rsidR="0073175C" w:rsidRDefault="0073175C" w:rsidP="0073175C">
      <w:r>
        <w:t>*Kapanma kabiliyeti tetik tertibatlı (açıldıktan sonra kendi kendini kapatan valf donanımlı) olacaktır.</w:t>
      </w:r>
    </w:p>
    <w:p w:rsidR="0073175C" w:rsidRDefault="0073175C" w:rsidP="0073175C">
      <w:r>
        <w:t>*Söndürücü tüpü TS EN 13322-1’de belirtilen özelliklerde olacaktır.</w:t>
      </w:r>
    </w:p>
    <w:p w:rsidR="0073175C" w:rsidRDefault="0073175C" w:rsidP="0073175C">
      <w:r>
        <w:t>*Cihaz gövdesi üzerinde; üretici firma adı, standart işaretleri (TSE, CE), söndürme maddesi markası, seri numarası ve üretim tarihi, üretici firmaya ait emniyet mührü, test ve kullanma basınç değerleri yazılmış olacaktır. Hortum üzerinde TS EN ISO 5774 işaretleri olacaktır.</w:t>
      </w:r>
    </w:p>
    <w:p w:rsidR="0073175C" w:rsidRDefault="0073175C" w:rsidP="0073175C">
      <w:r>
        <w:t>*Cihazların gövde yüzeyleri paslanmaya karşı astarlanarak dış etkilere dayanıklı fırın boya ile kırmızı renkte boyanmış olacaktır.</w:t>
      </w:r>
    </w:p>
    <w:p w:rsidR="0073175C" w:rsidRDefault="0073175C" w:rsidP="0073175C">
      <w:r>
        <w:t>*Teslim eden şirket etiket ve kullanım kılavuzunu en az A4 büyüklüğünde pleksi veya su geçirmez malzemeye basılı halde her tüp için verecektir.</w:t>
      </w:r>
    </w:p>
    <w:p w:rsidR="0073175C" w:rsidRDefault="0073175C" w:rsidP="0073175C">
      <w:r>
        <w:t>*Ürünü teslim eden şirket her tüp için gece ve karanlıkta yerine belli eden (rimel folyo baskılı) tabela vermek zorundadır.</w:t>
      </w:r>
    </w:p>
    <w:p w:rsidR="0073175C" w:rsidRPr="004D3865" w:rsidRDefault="0073175C" w:rsidP="0073175C">
      <w:pPr>
        <w:rPr>
          <w:rFonts w:ascii="Arial" w:hAnsi="Arial" w:cs="Arial"/>
          <w:color w:val="666666"/>
          <w:sz w:val="20"/>
          <w:shd w:val="clear" w:color="auto" w:fill="FAFAFA"/>
        </w:rPr>
      </w:pPr>
    </w:p>
    <w:sectPr w:rsidR="0073175C" w:rsidRPr="004D3865"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3AB" w:rsidRDefault="004F43AB" w:rsidP="00EE3768">
      <w:r>
        <w:separator/>
      </w:r>
    </w:p>
  </w:endnote>
  <w:endnote w:type="continuationSeparator" w:id="0">
    <w:p w:rsidR="004F43AB" w:rsidRDefault="004F43AB" w:rsidP="00EE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3AB" w:rsidRDefault="004F43AB" w:rsidP="00EE3768">
      <w:r>
        <w:separator/>
      </w:r>
    </w:p>
  </w:footnote>
  <w:footnote w:type="continuationSeparator" w:id="0">
    <w:p w:rsidR="004F43AB" w:rsidRDefault="004F43AB" w:rsidP="00EE37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1839"/>
    <w:multiLevelType w:val="hybridMultilevel"/>
    <w:tmpl w:val="8D22D30E"/>
    <w:lvl w:ilvl="0" w:tplc="403CA3C0">
      <w:start w:val="9"/>
      <w:numFmt w:val="bullet"/>
      <w:lvlText w:val=""/>
      <w:lvlJc w:val="left"/>
      <w:pPr>
        <w:ind w:left="720" w:hanging="360"/>
      </w:pPr>
      <w:rPr>
        <w:rFonts w:ascii="Symbol" w:eastAsia="Times New Roman" w:hAnsi="Symbol" w:cs="Times New Roman"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6F06396"/>
    <w:multiLevelType w:val="hybridMultilevel"/>
    <w:tmpl w:val="40C2B424"/>
    <w:lvl w:ilvl="0" w:tplc="ED069D90">
      <w:start w:val="9"/>
      <w:numFmt w:val="bullet"/>
      <w:lvlText w:val=""/>
      <w:lvlJc w:val="left"/>
      <w:pPr>
        <w:ind w:left="720" w:hanging="360"/>
      </w:pPr>
      <w:rPr>
        <w:rFonts w:ascii="Symbol" w:eastAsia="Times New Roman" w:hAnsi="Symbol" w:cs="Times New Roman" w:hint="default"/>
        <w:color w:val="auto"/>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
  </w:num>
  <w:num w:numId="3">
    <w:abstractNumId w:val="5"/>
  </w:num>
  <w:num w:numId="4">
    <w:abstractNumId w:val="2"/>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8"/>
  </w:num>
  <w:num w:numId="10">
    <w:abstractNumId w:val="9"/>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768"/>
    <w:rsid w:val="0004169D"/>
    <w:rsid w:val="0006147B"/>
    <w:rsid w:val="000862BF"/>
    <w:rsid w:val="000938DF"/>
    <w:rsid w:val="000B67D3"/>
    <w:rsid w:val="000D0F3D"/>
    <w:rsid w:val="000F0A4C"/>
    <w:rsid w:val="0012609F"/>
    <w:rsid w:val="00131AD7"/>
    <w:rsid w:val="00155D7D"/>
    <w:rsid w:val="001719D4"/>
    <w:rsid w:val="001802EF"/>
    <w:rsid w:val="00202D95"/>
    <w:rsid w:val="0020698C"/>
    <w:rsid w:val="002273BF"/>
    <w:rsid w:val="00260231"/>
    <w:rsid w:val="002966DD"/>
    <w:rsid w:val="0030135D"/>
    <w:rsid w:val="003145E0"/>
    <w:rsid w:val="00334A5B"/>
    <w:rsid w:val="00337C8E"/>
    <w:rsid w:val="003428A0"/>
    <w:rsid w:val="003478E1"/>
    <w:rsid w:val="003E09E6"/>
    <w:rsid w:val="003E2267"/>
    <w:rsid w:val="00414A29"/>
    <w:rsid w:val="004241F0"/>
    <w:rsid w:val="00443091"/>
    <w:rsid w:val="00472A73"/>
    <w:rsid w:val="004B0AC5"/>
    <w:rsid w:val="004D05BD"/>
    <w:rsid w:val="004D3865"/>
    <w:rsid w:val="004D5819"/>
    <w:rsid w:val="004E1185"/>
    <w:rsid w:val="004E3F40"/>
    <w:rsid w:val="004F43AB"/>
    <w:rsid w:val="00521D6F"/>
    <w:rsid w:val="005820FA"/>
    <w:rsid w:val="00593EFD"/>
    <w:rsid w:val="005C7296"/>
    <w:rsid w:val="005F4C7C"/>
    <w:rsid w:val="0063316F"/>
    <w:rsid w:val="00662FFB"/>
    <w:rsid w:val="00674185"/>
    <w:rsid w:val="00687A76"/>
    <w:rsid w:val="006974EA"/>
    <w:rsid w:val="006B2F43"/>
    <w:rsid w:val="006B39A7"/>
    <w:rsid w:val="007202FB"/>
    <w:rsid w:val="0073175C"/>
    <w:rsid w:val="00737C6B"/>
    <w:rsid w:val="00755E13"/>
    <w:rsid w:val="00763486"/>
    <w:rsid w:val="00775326"/>
    <w:rsid w:val="007F2D7F"/>
    <w:rsid w:val="007F6A47"/>
    <w:rsid w:val="008051EF"/>
    <w:rsid w:val="00810048"/>
    <w:rsid w:val="00823C6D"/>
    <w:rsid w:val="00867182"/>
    <w:rsid w:val="008935F4"/>
    <w:rsid w:val="008B7373"/>
    <w:rsid w:val="008C140C"/>
    <w:rsid w:val="008F1635"/>
    <w:rsid w:val="00906290"/>
    <w:rsid w:val="0091308A"/>
    <w:rsid w:val="009369BF"/>
    <w:rsid w:val="00964073"/>
    <w:rsid w:val="0099212C"/>
    <w:rsid w:val="00992FBF"/>
    <w:rsid w:val="009A443F"/>
    <w:rsid w:val="00A64840"/>
    <w:rsid w:val="00A658AE"/>
    <w:rsid w:val="00A92AEF"/>
    <w:rsid w:val="00A96A48"/>
    <w:rsid w:val="00AB18B0"/>
    <w:rsid w:val="00AB438A"/>
    <w:rsid w:val="00AF253C"/>
    <w:rsid w:val="00B001D4"/>
    <w:rsid w:val="00B03E8F"/>
    <w:rsid w:val="00B07437"/>
    <w:rsid w:val="00B7264B"/>
    <w:rsid w:val="00B954DA"/>
    <w:rsid w:val="00BA5331"/>
    <w:rsid w:val="00BD6D97"/>
    <w:rsid w:val="00BE1581"/>
    <w:rsid w:val="00C064EA"/>
    <w:rsid w:val="00C12D91"/>
    <w:rsid w:val="00C22859"/>
    <w:rsid w:val="00C547D2"/>
    <w:rsid w:val="00C75949"/>
    <w:rsid w:val="00C86A80"/>
    <w:rsid w:val="00CC287B"/>
    <w:rsid w:val="00CC5BBB"/>
    <w:rsid w:val="00CF4729"/>
    <w:rsid w:val="00D04C3D"/>
    <w:rsid w:val="00D432E1"/>
    <w:rsid w:val="00D54441"/>
    <w:rsid w:val="00D5456A"/>
    <w:rsid w:val="00D732A0"/>
    <w:rsid w:val="00D73FAB"/>
    <w:rsid w:val="00D82E09"/>
    <w:rsid w:val="00D86BB9"/>
    <w:rsid w:val="00DA4EA4"/>
    <w:rsid w:val="00DB38E7"/>
    <w:rsid w:val="00DB6576"/>
    <w:rsid w:val="00DE3B91"/>
    <w:rsid w:val="00E07E33"/>
    <w:rsid w:val="00E44C4D"/>
    <w:rsid w:val="00E52C33"/>
    <w:rsid w:val="00E67E50"/>
    <w:rsid w:val="00EE3768"/>
    <w:rsid w:val="00EE4E3D"/>
    <w:rsid w:val="00F01B59"/>
    <w:rsid w:val="00F13868"/>
    <w:rsid w:val="00F1493D"/>
    <w:rsid w:val="00F332C4"/>
    <w:rsid w:val="00F348FB"/>
    <w:rsid w:val="00F37235"/>
    <w:rsid w:val="00F9648D"/>
    <w:rsid w:val="00FB3141"/>
    <w:rsid w:val="00FC5ED1"/>
    <w:rsid w:val="00FD67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5CA3"/>
  <w15:docId w15:val="{4CE48C77-35ED-4D96-A968-382BEFB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768"/>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EE3768"/>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EE3768"/>
    <w:rPr>
      <w:rFonts w:ascii="Arial" w:eastAsia="Times New Roman" w:hAnsi="Arial" w:cs="Times New Roman"/>
      <w:b/>
      <w:sz w:val="20"/>
      <w:szCs w:val="20"/>
      <w:lang w:eastAsia="tr-TR"/>
    </w:rPr>
  </w:style>
  <w:style w:type="paragraph" w:styleId="stBilgi">
    <w:name w:val="header"/>
    <w:aliases w:val=" Char Char Char, Char Char"/>
    <w:basedOn w:val="Normal"/>
    <w:link w:val="stBilgiChar"/>
    <w:rsid w:val="00EE3768"/>
    <w:pPr>
      <w:tabs>
        <w:tab w:val="center" w:pos="4536"/>
        <w:tab w:val="right" w:pos="9072"/>
      </w:tabs>
    </w:pPr>
  </w:style>
  <w:style w:type="character" w:customStyle="1" w:styleId="stBilgiChar">
    <w:name w:val="Üst Bilgi Char"/>
    <w:aliases w:val=" Char Char Char Char, Char Char Char1"/>
    <w:link w:val="stBilgi"/>
    <w:rsid w:val="00EE3768"/>
    <w:rPr>
      <w:rFonts w:ascii="Times New Roman" w:eastAsia="Times New Roman" w:hAnsi="Times New Roman" w:cs="Times New Roman"/>
      <w:sz w:val="24"/>
      <w:szCs w:val="20"/>
      <w:lang w:eastAsia="tr-TR"/>
    </w:rPr>
  </w:style>
  <w:style w:type="paragraph" w:styleId="AltBilgi">
    <w:name w:val="footer"/>
    <w:basedOn w:val="Normal"/>
    <w:link w:val="AltBilgiChar"/>
    <w:rsid w:val="00EE3768"/>
    <w:pPr>
      <w:tabs>
        <w:tab w:val="center" w:pos="4536"/>
        <w:tab w:val="right" w:pos="9072"/>
      </w:tabs>
    </w:pPr>
  </w:style>
  <w:style w:type="character" w:customStyle="1" w:styleId="AltBilgiChar">
    <w:name w:val="Alt Bilgi Char"/>
    <w:link w:val="AltBilgi"/>
    <w:rsid w:val="00EE3768"/>
    <w:rPr>
      <w:rFonts w:ascii="Times New Roman" w:eastAsia="Times New Roman" w:hAnsi="Times New Roman" w:cs="Times New Roman"/>
      <w:sz w:val="24"/>
      <w:szCs w:val="20"/>
      <w:lang w:eastAsia="tr-TR"/>
    </w:rPr>
  </w:style>
  <w:style w:type="table" w:styleId="TabloKlavuzu">
    <w:name w:val="Table Grid"/>
    <w:basedOn w:val="NormalTablo"/>
    <w:rsid w:val="009130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uiPriority w:val="99"/>
    <w:semiHidden/>
    <w:unhideWhenUsed/>
    <w:rsid w:val="00D432E1"/>
    <w:rPr>
      <w:color w:val="0000FF"/>
      <w:u w:val="single"/>
    </w:rPr>
  </w:style>
  <w:style w:type="paragraph" w:styleId="BalonMetni">
    <w:name w:val="Balloon Text"/>
    <w:basedOn w:val="Normal"/>
    <w:link w:val="BalonMetniChar"/>
    <w:semiHidden/>
    <w:unhideWhenUsed/>
    <w:rsid w:val="00D432E1"/>
    <w:rPr>
      <w:rFonts w:ascii="Segoe UI" w:hAnsi="Segoe UI" w:cs="Segoe UI"/>
      <w:sz w:val="18"/>
      <w:szCs w:val="18"/>
    </w:rPr>
  </w:style>
  <w:style w:type="character" w:customStyle="1" w:styleId="BalonMetniChar">
    <w:name w:val="Balon Metni Char"/>
    <w:link w:val="BalonMetni"/>
    <w:semiHidden/>
    <w:rsid w:val="00D432E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shekimligi@usak.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677</Words>
  <Characters>3861</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SATIN ALMA</cp:lastModifiedBy>
  <cp:revision>24</cp:revision>
  <cp:lastPrinted>2021-09-13T11:48:00Z</cp:lastPrinted>
  <dcterms:created xsi:type="dcterms:W3CDTF">2017-03-14T08:09:00Z</dcterms:created>
  <dcterms:modified xsi:type="dcterms:W3CDTF">2021-09-14T12:10:00Z</dcterms:modified>
</cp:coreProperties>
</file>