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E3B2D" w14:textId="6786CE92" w:rsidR="000D5075" w:rsidRDefault="000D5075" w:rsidP="000D5075">
      <w:pPr>
        <w:spacing w:after="240"/>
        <w:rPr>
          <w:rFonts w:eastAsia="Times New Roman"/>
        </w:rPr>
      </w:pPr>
      <w:bookmarkStart w:id="0" w:name="_GoBack"/>
      <w:bookmarkEnd w:id="0"/>
      <w:proofErr w:type="spellStart"/>
      <w:r>
        <w:rPr>
          <w:rFonts w:eastAsia="Times New Roman"/>
          <w:b/>
          <w:bCs/>
        </w:rPr>
        <w:t>Launch</w:t>
      </w:r>
      <w:proofErr w:type="spellEnd"/>
      <w:r>
        <w:rPr>
          <w:rFonts w:eastAsia="Times New Roman"/>
          <w:b/>
          <w:bCs/>
        </w:rPr>
        <w:t xml:space="preserve"> of </w:t>
      </w:r>
      <w:proofErr w:type="spellStart"/>
      <w:r>
        <w:rPr>
          <w:rFonts w:eastAsia="Times New Roman"/>
          <w:b/>
          <w:bCs/>
        </w:rPr>
        <w:t>access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to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the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European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Commission's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Nanobiotechnology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Laboratory</w:t>
      </w:r>
      <w:proofErr w:type="spellEnd"/>
    </w:p>
    <w:p w14:paraId="6957AD60" w14:textId="39AFABDA" w:rsidR="000D5075" w:rsidRPr="00D006FC" w:rsidRDefault="000D5075" w:rsidP="000D5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eastAsia="Times New Roman"/>
        </w:rPr>
        <w:t xml:space="preserve">﻿ </w:t>
      </w:r>
      <w:r>
        <w:rPr>
          <w:sz w:val="20"/>
          <w:szCs w:val="20"/>
        </w:rPr>
        <w:t> </w:t>
      </w:r>
    </w:p>
    <w:p w14:paraId="63A32B84" w14:textId="77777777" w:rsidR="000D5075" w:rsidRDefault="000D5075" w:rsidP="000D5075">
      <w:pPr>
        <w:spacing w:after="0" w:line="240" w:lineRule="auto"/>
      </w:pPr>
      <w:proofErr w:type="spellStart"/>
      <w:r>
        <w:rPr>
          <w:sz w:val="20"/>
          <w:szCs w:val="20"/>
        </w:rPr>
        <w:t>We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glad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announce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hyperlink r:id="rId5" w:history="1">
        <w:proofErr w:type="spellStart"/>
        <w:r>
          <w:rPr>
            <w:rStyle w:val="Kpr"/>
            <w:b/>
            <w:bCs/>
            <w:color w:val="0563C1"/>
            <w:sz w:val="20"/>
            <w:szCs w:val="20"/>
          </w:rPr>
          <w:t>launch</w:t>
        </w:r>
        <w:proofErr w:type="spellEnd"/>
        <w:r>
          <w:rPr>
            <w:rStyle w:val="Kpr"/>
            <w:b/>
            <w:bCs/>
            <w:color w:val="0563C1"/>
            <w:sz w:val="20"/>
            <w:szCs w:val="20"/>
          </w:rPr>
          <w:t xml:space="preserve"> of a </w:t>
        </w:r>
        <w:proofErr w:type="spellStart"/>
        <w:r>
          <w:rPr>
            <w:rStyle w:val="Kpr"/>
            <w:b/>
            <w:bCs/>
            <w:color w:val="0563C1"/>
            <w:sz w:val="20"/>
            <w:szCs w:val="20"/>
          </w:rPr>
          <w:t>call</w:t>
        </w:r>
        <w:proofErr w:type="spellEnd"/>
        <w:r>
          <w:rPr>
            <w:rStyle w:val="Kpr"/>
            <w:color w:val="0563C1"/>
            <w:sz w:val="20"/>
            <w:szCs w:val="20"/>
          </w:rPr>
          <w:t xml:space="preserve"> </w:t>
        </w:r>
        <w:proofErr w:type="spellStart"/>
        <w:r>
          <w:rPr>
            <w:rStyle w:val="Kpr"/>
            <w:sz w:val="20"/>
            <w:szCs w:val="20"/>
          </w:rPr>
          <w:t>to</w:t>
        </w:r>
        <w:proofErr w:type="spellEnd"/>
        <w:r>
          <w:rPr>
            <w:rStyle w:val="Kpr"/>
            <w:sz w:val="20"/>
            <w:szCs w:val="20"/>
          </w:rPr>
          <w:t xml:space="preserve"> </w:t>
        </w:r>
        <w:proofErr w:type="spellStart"/>
        <w:r>
          <w:rPr>
            <w:rStyle w:val="Kpr"/>
            <w:sz w:val="20"/>
            <w:szCs w:val="20"/>
          </w:rPr>
          <w:t>access</w:t>
        </w:r>
        <w:proofErr w:type="spellEnd"/>
        <w:r>
          <w:rPr>
            <w:rStyle w:val="Kpr"/>
            <w:sz w:val="20"/>
            <w:szCs w:val="20"/>
          </w:rPr>
          <w:t xml:space="preserve"> </w:t>
        </w:r>
        <w:proofErr w:type="spellStart"/>
        <w:r>
          <w:rPr>
            <w:rStyle w:val="Kpr"/>
            <w:sz w:val="20"/>
            <w:szCs w:val="20"/>
          </w:rPr>
          <w:t>the</w:t>
        </w:r>
        <w:proofErr w:type="spellEnd"/>
        <w:r>
          <w:rPr>
            <w:rStyle w:val="Kpr"/>
            <w:color w:val="0563C1"/>
            <w:sz w:val="20"/>
            <w:szCs w:val="20"/>
          </w:rPr>
          <w:t xml:space="preserve"> </w:t>
        </w:r>
        <w:proofErr w:type="spellStart"/>
        <w:r>
          <w:rPr>
            <w:rStyle w:val="Kpr"/>
            <w:b/>
            <w:bCs/>
            <w:color w:val="0563C1"/>
            <w:sz w:val="20"/>
            <w:szCs w:val="20"/>
          </w:rPr>
          <w:t>Nanobiotechnology</w:t>
        </w:r>
        <w:proofErr w:type="spellEnd"/>
        <w:r>
          <w:rPr>
            <w:rStyle w:val="Kpr"/>
            <w:color w:val="0563C1"/>
            <w:sz w:val="20"/>
            <w:szCs w:val="20"/>
          </w:rPr>
          <w:t xml:space="preserve"> </w:t>
        </w:r>
        <w:proofErr w:type="spellStart"/>
        <w:r>
          <w:rPr>
            <w:rStyle w:val="Kpr"/>
            <w:color w:val="0563C1"/>
            <w:sz w:val="20"/>
            <w:szCs w:val="20"/>
          </w:rPr>
          <w:t>Laboratory</w:t>
        </w:r>
        <w:proofErr w:type="spellEnd"/>
        <w:r>
          <w:rPr>
            <w:rStyle w:val="Kpr"/>
            <w:color w:val="0563C1"/>
            <w:sz w:val="20"/>
            <w:szCs w:val="20"/>
          </w:rPr>
          <w:t xml:space="preserve"> </w:t>
        </w:r>
      </w:hyperlink>
      <w:r>
        <w:rPr>
          <w:sz w:val="20"/>
          <w:szCs w:val="20"/>
        </w:rPr>
        <w:t xml:space="preserve"> at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Joint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Research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Centre</w:t>
      </w:r>
      <w:proofErr w:type="spellEnd"/>
      <w:r>
        <w:rPr>
          <w:sz w:val="20"/>
          <w:szCs w:val="20"/>
        </w:rPr>
        <w:t xml:space="preserve"> (</w:t>
      </w:r>
      <w:hyperlink r:id="rId6" w:history="1">
        <w:r>
          <w:rPr>
            <w:rStyle w:val="Kpr"/>
            <w:color w:val="0563C1"/>
            <w:sz w:val="20"/>
            <w:szCs w:val="20"/>
          </w:rPr>
          <w:t>JRC</w:t>
        </w:r>
      </w:hyperlink>
      <w:r>
        <w:rPr>
          <w:sz w:val="20"/>
          <w:szCs w:val="20"/>
        </w:rPr>
        <w:t xml:space="preserve">) of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European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Commission</w:t>
      </w:r>
      <w:proofErr w:type="spellEnd"/>
      <w:r>
        <w:rPr>
          <w:sz w:val="20"/>
          <w:szCs w:val="20"/>
        </w:rPr>
        <w:t xml:space="preserve"> in </w:t>
      </w:r>
      <w:hyperlink r:id="rId7" w:history="1">
        <w:proofErr w:type="spellStart"/>
        <w:r>
          <w:rPr>
            <w:rStyle w:val="Kpr"/>
            <w:color w:val="0563C1"/>
            <w:sz w:val="20"/>
            <w:szCs w:val="20"/>
          </w:rPr>
          <w:t>Ispra</w:t>
        </w:r>
        <w:proofErr w:type="spellEnd"/>
      </w:hyperlink>
      <w:r>
        <w:rPr>
          <w:sz w:val="20"/>
          <w:szCs w:val="20"/>
        </w:rPr>
        <w:t>.</w:t>
      </w:r>
    </w:p>
    <w:p w14:paraId="05C95986" w14:textId="77777777" w:rsidR="000D5075" w:rsidRDefault="000D5075" w:rsidP="000D5075">
      <w:pPr>
        <w:spacing w:after="0" w:line="240" w:lineRule="auto"/>
      </w:pPr>
      <w:r>
        <w:rPr>
          <w:sz w:val="20"/>
          <w:szCs w:val="20"/>
        </w:rPr>
        <w:t> </w:t>
      </w:r>
    </w:p>
    <w:p w14:paraId="187C12BE" w14:textId="77777777" w:rsidR="000D5075" w:rsidRDefault="000D5075" w:rsidP="000D5075">
      <w:pPr>
        <w:spacing w:after="0" w:line="240" w:lineRule="auto"/>
      </w:pP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JRC </w:t>
      </w:r>
      <w:proofErr w:type="spellStart"/>
      <w:r>
        <w:rPr>
          <w:sz w:val="20"/>
          <w:szCs w:val="20"/>
        </w:rPr>
        <w:t>facilitates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access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Nanobiotechnology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Laboratory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waiving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access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costs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particular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providing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travel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subsistence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users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visiting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JRC </w:t>
      </w:r>
      <w:proofErr w:type="spellStart"/>
      <w:r>
        <w:rPr>
          <w:sz w:val="20"/>
          <w:szCs w:val="20"/>
        </w:rPr>
        <w:t>from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institutions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from</w:t>
      </w:r>
      <w:proofErr w:type="spellEnd"/>
      <w:r>
        <w:rPr>
          <w:sz w:val="20"/>
          <w:szCs w:val="20"/>
        </w:rPr>
        <w:t xml:space="preserve"> </w:t>
      </w:r>
      <w:hyperlink r:id="rId8" w:history="1">
        <w:proofErr w:type="spellStart"/>
        <w:r>
          <w:rPr>
            <w:rStyle w:val="Kpr"/>
            <w:color w:val="0563C1"/>
            <w:sz w:val="20"/>
            <w:szCs w:val="20"/>
          </w:rPr>
          <w:t>countries</w:t>
        </w:r>
        <w:proofErr w:type="spellEnd"/>
        <w:r>
          <w:rPr>
            <w:rStyle w:val="Kpr"/>
            <w:color w:val="0563C1"/>
            <w:sz w:val="20"/>
            <w:szCs w:val="20"/>
          </w:rPr>
          <w:t xml:space="preserve"> </w:t>
        </w:r>
        <w:proofErr w:type="spellStart"/>
        <w:r>
          <w:rPr>
            <w:rStyle w:val="Kpr"/>
            <w:color w:val="0563C1"/>
            <w:sz w:val="20"/>
            <w:szCs w:val="20"/>
          </w:rPr>
          <w:t>eligible</w:t>
        </w:r>
        <w:proofErr w:type="spellEnd"/>
      </w:hyperlink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hyperlink r:id="rId9" w:history="1">
        <w:proofErr w:type="spellStart"/>
        <w:r>
          <w:rPr>
            <w:rStyle w:val="Kpr"/>
            <w:color w:val="0563C1"/>
            <w:sz w:val="20"/>
            <w:szCs w:val="20"/>
          </w:rPr>
          <w:t>Spreading</w:t>
        </w:r>
        <w:proofErr w:type="spellEnd"/>
        <w:r>
          <w:rPr>
            <w:rStyle w:val="Kpr"/>
            <w:color w:val="0563C1"/>
            <w:sz w:val="20"/>
            <w:szCs w:val="20"/>
          </w:rPr>
          <w:t xml:space="preserve"> </w:t>
        </w:r>
        <w:proofErr w:type="spellStart"/>
        <w:r>
          <w:rPr>
            <w:rStyle w:val="Kpr"/>
            <w:color w:val="0563C1"/>
            <w:sz w:val="20"/>
            <w:szCs w:val="20"/>
          </w:rPr>
          <w:t>Excellence</w:t>
        </w:r>
        <w:proofErr w:type="spellEnd"/>
        <w:r>
          <w:rPr>
            <w:rStyle w:val="Kpr"/>
            <w:color w:val="0563C1"/>
            <w:sz w:val="20"/>
            <w:szCs w:val="20"/>
          </w:rPr>
          <w:t xml:space="preserve"> </w:t>
        </w:r>
        <w:proofErr w:type="spellStart"/>
        <w:r>
          <w:rPr>
            <w:rStyle w:val="Kpr"/>
            <w:color w:val="0563C1"/>
            <w:sz w:val="20"/>
            <w:szCs w:val="20"/>
          </w:rPr>
          <w:t>and</w:t>
        </w:r>
        <w:proofErr w:type="spellEnd"/>
        <w:r>
          <w:rPr>
            <w:rStyle w:val="Kpr"/>
            <w:color w:val="0563C1"/>
            <w:sz w:val="20"/>
            <w:szCs w:val="20"/>
          </w:rPr>
          <w:t xml:space="preserve"> </w:t>
        </w:r>
        <w:proofErr w:type="spellStart"/>
        <w:r>
          <w:rPr>
            <w:rStyle w:val="Kpr"/>
            <w:color w:val="0563C1"/>
            <w:sz w:val="20"/>
            <w:szCs w:val="20"/>
          </w:rPr>
          <w:t>Widening</w:t>
        </w:r>
        <w:proofErr w:type="spellEnd"/>
        <w:r>
          <w:rPr>
            <w:rStyle w:val="Kpr"/>
            <w:color w:val="0563C1"/>
            <w:sz w:val="20"/>
            <w:szCs w:val="20"/>
          </w:rPr>
          <w:t xml:space="preserve"> </w:t>
        </w:r>
        <w:proofErr w:type="spellStart"/>
        <w:r>
          <w:rPr>
            <w:rStyle w:val="Kpr"/>
            <w:color w:val="0563C1"/>
            <w:sz w:val="20"/>
            <w:szCs w:val="20"/>
          </w:rPr>
          <w:t>Participation</w:t>
        </w:r>
        <w:proofErr w:type="spellEnd"/>
        <w:r>
          <w:rPr>
            <w:rStyle w:val="Kpr"/>
            <w:color w:val="0563C1"/>
            <w:sz w:val="20"/>
            <w:szCs w:val="20"/>
          </w:rPr>
          <w:t xml:space="preserve"> Action</w:t>
        </w:r>
      </w:hyperlink>
      <w:r>
        <w:rPr>
          <w:sz w:val="20"/>
          <w:szCs w:val="20"/>
        </w:rPr>
        <w:t>.</w:t>
      </w:r>
    </w:p>
    <w:p w14:paraId="6AE7CB2D" w14:textId="77777777" w:rsidR="000D5075" w:rsidRDefault="000D5075" w:rsidP="000D5075">
      <w:pPr>
        <w:spacing w:after="0" w:line="240" w:lineRule="auto"/>
      </w:pPr>
      <w:r>
        <w:rPr>
          <w:sz w:val="20"/>
          <w:szCs w:val="20"/>
        </w:rPr>
        <w:t> </w:t>
      </w:r>
    </w:p>
    <w:p w14:paraId="596A7A7A" w14:textId="77777777" w:rsidR="000D5075" w:rsidRDefault="000D5075" w:rsidP="000D5075">
      <w:pPr>
        <w:spacing w:after="0" w:line="240" w:lineRule="auto"/>
      </w:pPr>
      <w:proofErr w:type="spellStart"/>
      <w:r>
        <w:rPr>
          <w:sz w:val="20"/>
          <w:szCs w:val="20"/>
        </w:rPr>
        <w:t>We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would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appreciate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you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could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help</w:t>
      </w:r>
      <w:proofErr w:type="spellEnd"/>
      <w:r>
        <w:rPr>
          <w:sz w:val="20"/>
          <w:szCs w:val="20"/>
        </w:rPr>
        <w:t xml:space="preserve"> us in </w:t>
      </w:r>
      <w:proofErr w:type="spellStart"/>
      <w:r>
        <w:rPr>
          <w:sz w:val="20"/>
          <w:szCs w:val="20"/>
        </w:rPr>
        <w:t>disseminating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this</w:t>
      </w:r>
      <w:proofErr w:type="spellEnd"/>
      <w:r>
        <w:rPr>
          <w:sz w:val="20"/>
          <w:szCs w:val="20"/>
        </w:rPr>
        <w:t xml:space="preserve"> </w:t>
      </w:r>
      <w:hyperlink r:id="rId10" w:history="1">
        <w:proofErr w:type="spellStart"/>
        <w:r>
          <w:rPr>
            <w:rStyle w:val="Kpr"/>
            <w:sz w:val="20"/>
            <w:szCs w:val="20"/>
          </w:rPr>
          <w:t>call</w:t>
        </w:r>
        <w:proofErr w:type="spellEnd"/>
      </w:hyperlink>
      <w:r>
        <w:rPr>
          <w:sz w:val="20"/>
          <w:szCs w:val="20"/>
        </w:rPr>
        <w:t xml:space="preserve"> as </w:t>
      </w:r>
      <w:proofErr w:type="spellStart"/>
      <w:r>
        <w:rPr>
          <w:sz w:val="20"/>
          <w:szCs w:val="20"/>
        </w:rPr>
        <w:t>widely</w:t>
      </w:r>
      <w:proofErr w:type="spellEnd"/>
      <w:r>
        <w:rPr>
          <w:sz w:val="20"/>
          <w:szCs w:val="20"/>
        </w:rPr>
        <w:t xml:space="preserve"> as </w:t>
      </w:r>
      <w:proofErr w:type="spellStart"/>
      <w:r>
        <w:rPr>
          <w:sz w:val="20"/>
          <w:szCs w:val="20"/>
        </w:rPr>
        <w:t>possible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universities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research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organisations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SMEs</w:t>
      </w:r>
      <w:proofErr w:type="spellEnd"/>
      <w:r>
        <w:rPr>
          <w:sz w:val="20"/>
          <w:szCs w:val="20"/>
        </w:rPr>
        <w:t>.</w:t>
      </w:r>
    </w:p>
    <w:p w14:paraId="64E98158" w14:textId="77777777" w:rsidR="000D5075" w:rsidRDefault="000D5075" w:rsidP="000D5075">
      <w:pPr>
        <w:spacing w:after="0" w:line="240" w:lineRule="auto"/>
      </w:pPr>
      <w:r>
        <w:rPr>
          <w:sz w:val="20"/>
          <w:szCs w:val="20"/>
        </w:rPr>
        <w:t> </w:t>
      </w:r>
    </w:p>
    <w:p w14:paraId="6D1403CD" w14:textId="77777777" w:rsidR="000D5075" w:rsidRDefault="000D5075" w:rsidP="000D5075">
      <w:pPr>
        <w:spacing w:after="0" w:line="240" w:lineRule="auto"/>
        <w:jc w:val="center"/>
      </w:pPr>
      <w:r>
        <w:rPr>
          <w:noProof/>
          <w:sz w:val="20"/>
          <w:szCs w:val="20"/>
          <w:lang w:eastAsia="tr-TR"/>
        </w:rPr>
        <w:drawing>
          <wp:inline distT="0" distB="0" distL="0" distR="0" wp14:anchorId="4F2F0167" wp14:editId="5955BCA9">
            <wp:extent cx="2790825" cy="1047750"/>
            <wp:effectExtent l="0" t="0" r="9525" b="0"/>
            <wp:docPr id="10" name="Resim 10" descr="cid:image001.jpg@01D6A95D.DE5D2FB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6A95D.DE5D2FB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2D2D3" w14:textId="77777777" w:rsidR="000D5075" w:rsidRDefault="000D5075" w:rsidP="000D5075">
      <w:pPr>
        <w:spacing w:after="0" w:line="240" w:lineRule="auto"/>
      </w:pPr>
      <w:r>
        <w:rPr>
          <w:sz w:val="20"/>
          <w:szCs w:val="20"/>
        </w:rPr>
        <w:t> </w:t>
      </w:r>
    </w:p>
    <w:p w14:paraId="1FBEAC2A" w14:textId="77777777" w:rsidR="000D5075" w:rsidRDefault="000D5075" w:rsidP="000D5075">
      <w:pPr>
        <w:spacing w:after="0" w:line="240" w:lineRule="auto"/>
      </w:pP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hyperlink r:id="rId13" w:history="1">
        <w:proofErr w:type="spellStart"/>
        <w:r>
          <w:rPr>
            <w:rStyle w:val="Kpr"/>
            <w:color w:val="0563C1"/>
            <w:sz w:val="20"/>
            <w:szCs w:val="20"/>
          </w:rPr>
          <w:t>Nanobiotechnology</w:t>
        </w:r>
        <w:proofErr w:type="spellEnd"/>
        <w:r>
          <w:rPr>
            <w:rStyle w:val="Kpr"/>
            <w:color w:val="0563C1"/>
            <w:sz w:val="20"/>
            <w:szCs w:val="20"/>
          </w:rPr>
          <w:t xml:space="preserve"> </w:t>
        </w:r>
        <w:proofErr w:type="spellStart"/>
        <w:r>
          <w:rPr>
            <w:rStyle w:val="Kpr"/>
            <w:color w:val="0563C1"/>
            <w:sz w:val="20"/>
            <w:szCs w:val="20"/>
          </w:rPr>
          <w:t>Laboratory</w:t>
        </w:r>
        <w:proofErr w:type="spellEnd"/>
      </w:hyperlink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features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state</w:t>
      </w:r>
      <w:proofErr w:type="spellEnd"/>
      <w:r>
        <w:rPr>
          <w:sz w:val="20"/>
          <w:szCs w:val="20"/>
        </w:rPr>
        <w:t>-of-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-art </w:t>
      </w:r>
      <w:proofErr w:type="spellStart"/>
      <w:r>
        <w:rPr>
          <w:sz w:val="20"/>
          <w:szCs w:val="20"/>
        </w:rPr>
        <w:t>equipped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facilities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designed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foster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interdisciplinary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studies</w:t>
      </w:r>
      <w:proofErr w:type="spellEnd"/>
      <w:r>
        <w:rPr>
          <w:sz w:val="20"/>
          <w:szCs w:val="20"/>
        </w:rPr>
        <w:t xml:space="preserve">. A </w:t>
      </w:r>
      <w:proofErr w:type="spellStart"/>
      <w:r>
        <w:rPr>
          <w:sz w:val="20"/>
          <w:szCs w:val="20"/>
        </w:rPr>
        <w:t>special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emphasis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lies</w:t>
      </w:r>
      <w:proofErr w:type="spellEnd"/>
      <w:r>
        <w:rPr>
          <w:sz w:val="20"/>
          <w:szCs w:val="20"/>
        </w:rPr>
        <w:t xml:space="preserve"> on </w:t>
      </w:r>
      <w:proofErr w:type="spellStart"/>
      <w:r>
        <w:rPr>
          <w:sz w:val="20"/>
          <w:szCs w:val="20"/>
        </w:rPr>
        <w:t>characterisation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nanomaterials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micro</w:t>
      </w:r>
      <w:proofErr w:type="spell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nano</w:t>
      </w:r>
      <w:proofErr w:type="spellEnd"/>
      <w:r>
        <w:rPr>
          <w:sz w:val="20"/>
          <w:szCs w:val="20"/>
        </w:rPr>
        <w:t>)</w:t>
      </w:r>
      <w:proofErr w:type="spellStart"/>
      <w:r>
        <w:rPr>
          <w:sz w:val="20"/>
          <w:szCs w:val="20"/>
        </w:rPr>
        <w:t>plastics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nanomedicines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advanced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materials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their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interactions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with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biological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systems</w:t>
      </w:r>
      <w:proofErr w:type="spellEnd"/>
      <w:r>
        <w:rPr>
          <w:sz w:val="20"/>
          <w:szCs w:val="20"/>
        </w:rPr>
        <w:t xml:space="preserve">, as </w:t>
      </w:r>
      <w:proofErr w:type="spellStart"/>
      <w:r>
        <w:rPr>
          <w:sz w:val="20"/>
          <w:szCs w:val="20"/>
        </w:rPr>
        <w:t>well</w:t>
      </w:r>
      <w:proofErr w:type="spellEnd"/>
      <w:r>
        <w:rPr>
          <w:sz w:val="20"/>
          <w:szCs w:val="20"/>
        </w:rPr>
        <w:t xml:space="preserve"> as on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detection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identification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characterisation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nanomaterials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food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consumer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products</w:t>
      </w:r>
      <w:proofErr w:type="spellEnd"/>
      <w:r>
        <w:rPr>
          <w:sz w:val="20"/>
          <w:szCs w:val="20"/>
        </w:rPr>
        <w:t>.</w:t>
      </w:r>
    </w:p>
    <w:p w14:paraId="70DF93FB" w14:textId="77777777" w:rsidR="000D5075" w:rsidRDefault="000D5075" w:rsidP="000D5075">
      <w:pPr>
        <w:spacing w:after="0" w:line="240" w:lineRule="auto"/>
      </w:pPr>
      <w:r>
        <w:rPr>
          <w:sz w:val="20"/>
          <w:szCs w:val="20"/>
        </w:rPr>
        <w:t> </w:t>
      </w:r>
    </w:p>
    <w:p w14:paraId="4C3D0463" w14:textId="77777777" w:rsidR="000D5075" w:rsidRDefault="000D5075" w:rsidP="000D5075">
      <w:pPr>
        <w:spacing w:after="0" w:line="240" w:lineRule="auto"/>
      </w:pPr>
      <w:proofErr w:type="spellStart"/>
      <w:r>
        <w:rPr>
          <w:sz w:val="20"/>
          <w:szCs w:val="20"/>
        </w:rPr>
        <w:t>Priority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topics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hyperlink r:id="rId14" w:history="1">
        <w:proofErr w:type="spellStart"/>
        <w:r>
          <w:rPr>
            <w:rStyle w:val="Kpr"/>
            <w:sz w:val="20"/>
            <w:szCs w:val="20"/>
          </w:rPr>
          <w:t>call</w:t>
        </w:r>
        <w:proofErr w:type="spellEnd"/>
      </w:hyperlink>
      <w:r>
        <w:rPr>
          <w:sz w:val="20"/>
          <w:szCs w:val="20"/>
        </w:rPr>
        <w:t xml:space="preserve">: </w:t>
      </w:r>
    </w:p>
    <w:p w14:paraId="5BDE1BB6" w14:textId="77777777" w:rsidR="000D5075" w:rsidRDefault="000D5075" w:rsidP="000D5075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proofErr w:type="spellStart"/>
      <w:r>
        <w:rPr>
          <w:rFonts w:eastAsia="Times New Roman"/>
          <w:sz w:val="20"/>
          <w:szCs w:val="20"/>
        </w:rPr>
        <w:t>Nanomaterial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characterisation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including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their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interactions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with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biological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systems</w:t>
      </w:r>
      <w:proofErr w:type="spellEnd"/>
      <w:r>
        <w:rPr>
          <w:rFonts w:eastAsia="Times New Roman"/>
          <w:sz w:val="20"/>
          <w:szCs w:val="20"/>
        </w:rPr>
        <w:t xml:space="preserve"> (</w:t>
      </w:r>
      <w:proofErr w:type="spellStart"/>
      <w:r>
        <w:rPr>
          <w:rFonts w:eastAsia="Times New Roman"/>
          <w:sz w:val="20"/>
          <w:szCs w:val="20"/>
        </w:rPr>
        <w:t>culture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media</w:t>
      </w:r>
      <w:proofErr w:type="spellEnd"/>
      <w:r>
        <w:rPr>
          <w:rFonts w:eastAsia="Times New Roman"/>
          <w:sz w:val="20"/>
          <w:szCs w:val="20"/>
        </w:rPr>
        <w:t xml:space="preserve">, </w:t>
      </w:r>
      <w:proofErr w:type="spellStart"/>
      <w:r>
        <w:rPr>
          <w:rFonts w:eastAsia="Times New Roman"/>
          <w:sz w:val="20"/>
          <w:szCs w:val="20"/>
        </w:rPr>
        <w:t>proteins</w:t>
      </w:r>
      <w:proofErr w:type="spellEnd"/>
      <w:r>
        <w:rPr>
          <w:rFonts w:eastAsia="Times New Roman"/>
          <w:sz w:val="20"/>
          <w:szCs w:val="20"/>
        </w:rPr>
        <w:t xml:space="preserve">, </w:t>
      </w:r>
      <w:proofErr w:type="spellStart"/>
      <w:r>
        <w:rPr>
          <w:rFonts w:eastAsia="Times New Roman"/>
          <w:sz w:val="20"/>
          <w:szCs w:val="20"/>
        </w:rPr>
        <w:t>etc</w:t>
      </w:r>
      <w:proofErr w:type="spellEnd"/>
      <w:r>
        <w:rPr>
          <w:rFonts w:eastAsia="Times New Roman"/>
          <w:sz w:val="20"/>
          <w:szCs w:val="20"/>
        </w:rPr>
        <w:t>.)</w:t>
      </w:r>
    </w:p>
    <w:p w14:paraId="72D9F579" w14:textId="77777777" w:rsidR="000D5075" w:rsidRDefault="000D5075" w:rsidP="000D5075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proofErr w:type="spellStart"/>
      <w:r>
        <w:rPr>
          <w:rFonts w:eastAsia="Times New Roman"/>
          <w:sz w:val="20"/>
          <w:szCs w:val="20"/>
        </w:rPr>
        <w:t>Detection</w:t>
      </w:r>
      <w:proofErr w:type="spellEnd"/>
      <w:r>
        <w:rPr>
          <w:rFonts w:eastAsia="Times New Roman"/>
          <w:sz w:val="20"/>
          <w:szCs w:val="20"/>
        </w:rPr>
        <w:t xml:space="preserve"> of </w:t>
      </w:r>
      <w:proofErr w:type="spellStart"/>
      <w:r>
        <w:rPr>
          <w:rFonts w:eastAsia="Times New Roman"/>
          <w:sz w:val="20"/>
          <w:szCs w:val="20"/>
        </w:rPr>
        <w:t>nanomaterials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and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nano</w:t>
      </w:r>
      <w:proofErr w:type="spellEnd"/>
      <w:r>
        <w:rPr>
          <w:rFonts w:eastAsia="Times New Roman"/>
          <w:sz w:val="20"/>
          <w:szCs w:val="20"/>
        </w:rPr>
        <w:t>(</w:t>
      </w:r>
      <w:proofErr w:type="spellStart"/>
      <w:r>
        <w:rPr>
          <w:rFonts w:eastAsia="Times New Roman"/>
          <w:sz w:val="20"/>
          <w:szCs w:val="20"/>
        </w:rPr>
        <w:t>micro</w:t>
      </w:r>
      <w:proofErr w:type="spellEnd"/>
      <w:r>
        <w:rPr>
          <w:rFonts w:eastAsia="Times New Roman"/>
          <w:sz w:val="20"/>
          <w:szCs w:val="20"/>
        </w:rPr>
        <w:t>)</w:t>
      </w:r>
      <w:proofErr w:type="spellStart"/>
      <w:r>
        <w:rPr>
          <w:rFonts w:eastAsia="Times New Roman"/>
          <w:sz w:val="20"/>
          <w:szCs w:val="20"/>
        </w:rPr>
        <w:t>plastics</w:t>
      </w:r>
      <w:proofErr w:type="spellEnd"/>
      <w:r>
        <w:rPr>
          <w:rFonts w:eastAsia="Times New Roman"/>
          <w:sz w:val="20"/>
          <w:szCs w:val="20"/>
        </w:rPr>
        <w:t xml:space="preserve"> in </w:t>
      </w:r>
      <w:proofErr w:type="spellStart"/>
      <w:r>
        <w:rPr>
          <w:rFonts w:eastAsia="Times New Roman"/>
          <w:sz w:val="20"/>
          <w:szCs w:val="20"/>
        </w:rPr>
        <w:t>complex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matrices</w:t>
      </w:r>
      <w:proofErr w:type="spellEnd"/>
    </w:p>
    <w:p w14:paraId="2EAB136D" w14:textId="77777777" w:rsidR="000D5075" w:rsidRDefault="000D5075" w:rsidP="000D5075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proofErr w:type="spellStart"/>
      <w:r>
        <w:rPr>
          <w:rFonts w:eastAsia="Times New Roman"/>
          <w:sz w:val="20"/>
          <w:szCs w:val="20"/>
        </w:rPr>
        <w:t>Surface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chemical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analysis</w:t>
      </w:r>
      <w:proofErr w:type="spellEnd"/>
      <w:r>
        <w:rPr>
          <w:rFonts w:eastAsia="Times New Roman"/>
          <w:sz w:val="20"/>
          <w:szCs w:val="20"/>
        </w:rPr>
        <w:t xml:space="preserve"> of </w:t>
      </w:r>
      <w:proofErr w:type="spellStart"/>
      <w:r>
        <w:rPr>
          <w:rFonts w:eastAsia="Times New Roman"/>
          <w:sz w:val="20"/>
          <w:szCs w:val="20"/>
        </w:rPr>
        <w:t>macro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and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nanomaterials</w:t>
      </w:r>
      <w:proofErr w:type="spellEnd"/>
      <w:r>
        <w:rPr>
          <w:rFonts w:eastAsia="Times New Roman"/>
          <w:sz w:val="20"/>
          <w:szCs w:val="20"/>
        </w:rPr>
        <w:t xml:space="preserve">. </w:t>
      </w:r>
      <w:proofErr w:type="spellStart"/>
      <w:r>
        <w:rPr>
          <w:rFonts w:eastAsia="Times New Roman"/>
          <w:sz w:val="20"/>
          <w:szCs w:val="20"/>
        </w:rPr>
        <w:t>Surface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modification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and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nano-fabrication</w:t>
      </w:r>
      <w:proofErr w:type="spellEnd"/>
    </w:p>
    <w:p w14:paraId="741508CC" w14:textId="77777777" w:rsidR="000D5075" w:rsidRDefault="000D5075" w:rsidP="000D5075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proofErr w:type="spellStart"/>
      <w:r>
        <w:rPr>
          <w:rFonts w:eastAsia="Times New Roman"/>
          <w:sz w:val="20"/>
          <w:szCs w:val="20"/>
        </w:rPr>
        <w:t>Biomolecular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interaction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studies</w:t>
      </w:r>
      <w:proofErr w:type="spellEnd"/>
      <w:r>
        <w:rPr>
          <w:rFonts w:eastAsia="Times New Roman"/>
          <w:sz w:val="20"/>
          <w:szCs w:val="20"/>
        </w:rPr>
        <w:t xml:space="preserve">, </w:t>
      </w:r>
      <w:proofErr w:type="spellStart"/>
      <w:r>
        <w:rPr>
          <w:rFonts w:eastAsia="Times New Roman"/>
          <w:sz w:val="20"/>
          <w:szCs w:val="20"/>
        </w:rPr>
        <w:t>characterisation</w:t>
      </w:r>
      <w:proofErr w:type="spellEnd"/>
      <w:r>
        <w:rPr>
          <w:rFonts w:eastAsia="Times New Roman"/>
          <w:sz w:val="20"/>
          <w:szCs w:val="20"/>
        </w:rPr>
        <w:t xml:space="preserve"> of </w:t>
      </w:r>
      <w:proofErr w:type="spellStart"/>
      <w:r>
        <w:rPr>
          <w:rFonts w:eastAsia="Times New Roman"/>
          <w:sz w:val="20"/>
          <w:szCs w:val="20"/>
        </w:rPr>
        <w:t>antibodies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and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antigens</w:t>
      </w:r>
      <w:proofErr w:type="spellEnd"/>
      <w:r>
        <w:rPr>
          <w:rFonts w:eastAsia="Times New Roman"/>
          <w:sz w:val="20"/>
          <w:szCs w:val="20"/>
        </w:rPr>
        <w:t xml:space="preserve">, </w:t>
      </w:r>
      <w:proofErr w:type="spellStart"/>
      <w:r>
        <w:rPr>
          <w:rFonts w:eastAsia="Times New Roman"/>
          <w:sz w:val="20"/>
          <w:szCs w:val="20"/>
        </w:rPr>
        <w:t>bio-interfaces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characterisation</w:t>
      </w:r>
      <w:proofErr w:type="spellEnd"/>
    </w:p>
    <w:p w14:paraId="65FF6FE5" w14:textId="77777777" w:rsidR="000D5075" w:rsidRDefault="000D5075" w:rsidP="000D5075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  <w:sz w:val="20"/>
          <w:szCs w:val="20"/>
        </w:rPr>
        <w:t xml:space="preserve">Advanced </w:t>
      </w:r>
      <w:proofErr w:type="spellStart"/>
      <w:r>
        <w:rPr>
          <w:rFonts w:eastAsia="Times New Roman"/>
          <w:sz w:val="20"/>
          <w:szCs w:val="20"/>
        </w:rPr>
        <w:t>material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characterisation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for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non-bio-applications</w:t>
      </w:r>
      <w:proofErr w:type="spellEnd"/>
      <w:r>
        <w:rPr>
          <w:rFonts w:eastAsia="Times New Roman"/>
          <w:sz w:val="20"/>
          <w:szCs w:val="20"/>
        </w:rPr>
        <w:t xml:space="preserve"> (</w:t>
      </w:r>
      <w:proofErr w:type="spellStart"/>
      <w:r>
        <w:rPr>
          <w:rFonts w:eastAsia="Times New Roman"/>
          <w:sz w:val="20"/>
          <w:szCs w:val="20"/>
        </w:rPr>
        <w:t>energy</w:t>
      </w:r>
      <w:proofErr w:type="spellEnd"/>
      <w:r>
        <w:rPr>
          <w:rFonts w:eastAsia="Times New Roman"/>
          <w:sz w:val="20"/>
          <w:szCs w:val="20"/>
        </w:rPr>
        <w:t xml:space="preserve">, transport, </w:t>
      </w:r>
      <w:proofErr w:type="spellStart"/>
      <w:r>
        <w:rPr>
          <w:rFonts w:eastAsia="Times New Roman"/>
          <w:sz w:val="20"/>
          <w:szCs w:val="20"/>
        </w:rPr>
        <w:t>circular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economy</w:t>
      </w:r>
      <w:proofErr w:type="spellEnd"/>
      <w:r>
        <w:rPr>
          <w:rFonts w:eastAsia="Times New Roman"/>
          <w:sz w:val="20"/>
          <w:szCs w:val="20"/>
        </w:rPr>
        <w:t xml:space="preserve">, </w:t>
      </w:r>
      <w:proofErr w:type="spellStart"/>
      <w:r>
        <w:rPr>
          <w:rFonts w:eastAsia="Times New Roman"/>
          <w:sz w:val="20"/>
          <w:szCs w:val="20"/>
        </w:rPr>
        <w:t>environment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etc</w:t>
      </w:r>
      <w:proofErr w:type="spellEnd"/>
      <w:r>
        <w:rPr>
          <w:rFonts w:eastAsia="Times New Roman"/>
          <w:sz w:val="20"/>
          <w:szCs w:val="20"/>
        </w:rPr>
        <w:t>.).</w:t>
      </w:r>
    </w:p>
    <w:p w14:paraId="137492B7" w14:textId="77777777" w:rsidR="000D5075" w:rsidRDefault="000D5075" w:rsidP="000D5075">
      <w:pPr>
        <w:spacing w:after="0" w:line="240" w:lineRule="auto"/>
      </w:pPr>
      <w:r>
        <w:rPr>
          <w:b/>
          <w:bCs/>
          <w:sz w:val="20"/>
          <w:szCs w:val="20"/>
        </w:rPr>
        <w:t> </w:t>
      </w:r>
    </w:p>
    <w:p w14:paraId="7A2D26E2" w14:textId="77777777" w:rsidR="000D5075" w:rsidRDefault="000D5075" w:rsidP="000D5075">
      <w:pPr>
        <w:spacing w:after="0" w:line="240" w:lineRule="auto"/>
      </w:pP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JRC </w:t>
      </w:r>
      <w:proofErr w:type="spellStart"/>
      <w:r>
        <w:rPr>
          <w:sz w:val="20"/>
          <w:szCs w:val="20"/>
        </w:rPr>
        <w:t>facilitates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access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Nanobiotechnology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laboratory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relevance-driven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mode</w:t>
      </w:r>
      <w:proofErr w:type="spellEnd"/>
      <w:r>
        <w:rPr>
          <w:sz w:val="20"/>
          <w:szCs w:val="20"/>
        </w:rPr>
        <w:t>:</w:t>
      </w:r>
    </w:p>
    <w:p w14:paraId="313992FB" w14:textId="77777777" w:rsidR="000D5075" w:rsidRDefault="000D5075" w:rsidP="000D5075">
      <w:pPr>
        <w:numPr>
          <w:ilvl w:val="2"/>
          <w:numId w:val="2"/>
        </w:numPr>
        <w:spacing w:after="0" w:line="240" w:lineRule="auto"/>
        <w:rPr>
          <w:rFonts w:eastAsia="Times New Roman"/>
        </w:rPr>
      </w:pPr>
      <w:proofErr w:type="spellStart"/>
      <w:r>
        <w:rPr>
          <w:rFonts w:eastAsia="Times New Roman"/>
          <w:b/>
          <w:bCs/>
          <w:i/>
          <w:iCs/>
          <w:sz w:val="20"/>
          <w:szCs w:val="20"/>
        </w:rPr>
        <w:t>Payment</w:t>
      </w:r>
      <w:proofErr w:type="spellEnd"/>
      <w:r>
        <w:rPr>
          <w:rFonts w:eastAsia="Times New Roman"/>
          <w:b/>
          <w:bCs/>
          <w:i/>
          <w:iCs/>
          <w:sz w:val="20"/>
          <w:szCs w:val="20"/>
        </w:rPr>
        <w:t xml:space="preserve"> of </w:t>
      </w:r>
      <w:proofErr w:type="spellStart"/>
      <w:r>
        <w:rPr>
          <w:rFonts w:eastAsia="Times New Roman"/>
          <w:b/>
          <w:bCs/>
          <w:i/>
          <w:iCs/>
          <w:sz w:val="20"/>
          <w:szCs w:val="20"/>
        </w:rPr>
        <w:t>additional</w:t>
      </w:r>
      <w:proofErr w:type="spellEnd"/>
      <w:r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sz w:val="20"/>
          <w:szCs w:val="20"/>
        </w:rPr>
        <w:t>costs</w:t>
      </w:r>
      <w:proofErr w:type="spellEnd"/>
      <w:r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sz w:val="20"/>
          <w:szCs w:val="20"/>
        </w:rPr>
        <w:t>are</w:t>
      </w:r>
      <w:proofErr w:type="spellEnd"/>
      <w:r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sz w:val="20"/>
          <w:szCs w:val="20"/>
        </w:rPr>
        <w:t>waived</w:t>
      </w:r>
      <w:proofErr w:type="spellEnd"/>
      <w:r>
        <w:rPr>
          <w:rFonts w:eastAsia="Times New Roman"/>
          <w:b/>
          <w:bCs/>
          <w:i/>
          <w:iCs/>
          <w:sz w:val="20"/>
          <w:szCs w:val="20"/>
        </w:rPr>
        <w:t xml:space="preserve">, </w:t>
      </w:r>
      <w:proofErr w:type="spellStart"/>
      <w:r>
        <w:rPr>
          <w:rFonts w:eastAsia="Times New Roman"/>
          <w:sz w:val="20"/>
          <w:szCs w:val="20"/>
        </w:rPr>
        <w:t>excluding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consumables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and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expenses</w:t>
      </w:r>
      <w:proofErr w:type="spellEnd"/>
    </w:p>
    <w:p w14:paraId="08C869CC" w14:textId="77777777" w:rsidR="000D5075" w:rsidRDefault="000D5075" w:rsidP="000D5075">
      <w:pPr>
        <w:numPr>
          <w:ilvl w:val="2"/>
          <w:numId w:val="2"/>
        </w:numPr>
        <w:spacing w:after="0" w:line="240" w:lineRule="auto"/>
        <w:rPr>
          <w:rFonts w:eastAsia="Times New Roman"/>
        </w:rPr>
      </w:pPr>
      <w:proofErr w:type="spellStart"/>
      <w:r>
        <w:rPr>
          <w:rFonts w:eastAsia="Times New Roman"/>
          <w:b/>
          <w:bCs/>
          <w:i/>
          <w:iCs/>
          <w:sz w:val="20"/>
          <w:szCs w:val="20"/>
        </w:rPr>
        <w:t>Support</w:t>
      </w:r>
      <w:proofErr w:type="spellEnd"/>
      <w:r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sz w:val="20"/>
          <w:szCs w:val="20"/>
        </w:rPr>
        <w:t>to</w:t>
      </w:r>
      <w:proofErr w:type="spellEnd"/>
      <w:r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sz w:val="20"/>
          <w:szCs w:val="20"/>
        </w:rPr>
        <w:t>travel</w:t>
      </w:r>
      <w:proofErr w:type="spellEnd"/>
      <w:r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sz w:val="20"/>
          <w:szCs w:val="20"/>
        </w:rPr>
        <w:t>and</w:t>
      </w:r>
      <w:proofErr w:type="spellEnd"/>
      <w:r>
        <w:rPr>
          <w:rFonts w:eastAsia="Times New Roman"/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sz w:val="20"/>
          <w:szCs w:val="20"/>
        </w:rPr>
        <w:t>subsistence</w:t>
      </w:r>
      <w:proofErr w:type="spellEnd"/>
      <w:r>
        <w:rPr>
          <w:rFonts w:eastAsia="Times New Roman"/>
          <w:b/>
          <w:bCs/>
          <w:i/>
          <w:iCs/>
          <w:sz w:val="20"/>
          <w:szCs w:val="20"/>
        </w:rPr>
        <w:t xml:space="preserve"> of </w:t>
      </w:r>
      <w:proofErr w:type="spellStart"/>
      <w:r>
        <w:rPr>
          <w:rFonts w:eastAsia="Times New Roman"/>
          <w:b/>
          <w:bCs/>
          <w:i/>
          <w:iCs/>
          <w:sz w:val="20"/>
          <w:szCs w:val="20"/>
        </w:rPr>
        <w:t>Users</w:t>
      </w:r>
      <w:proofErr w:type="spellEnd"/>
      <w:r>
        <w:rPr>
          <w:rFonts w:eastAsia="Times New Roman"/>
          <w:b/>
          <w:bCs/>
          <w:i/>
          <w:iCs/>
          <w:sz w:val="20"/>
          <w:szCs w:val="20"/>
        </w:rPr>
        <w:t xml:space="preserve">: </w:t>
      </w:r>
      <w:proofErr w:type="spellStart"/>
      <w:r>
        <w:rPr>
          <w:rFonts w:eastAsia="Times New Roman"/>
          <w:sz w:val="20"/>
          <w:szCs w:val="20"/>
        </w:rPr>
        <w:t>for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Users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from</w:t>
      </w:r>
      <w:proofErr w:type="spellEnd"/>
      <w:r>
        <w:rPr>
          <w:rFonts w:eastAsia="Times New Roman"/>
          <w:sz w:val="20"/>
          <w:szCs w:val="20"/>
        </w:rPr>
        <w:t xml:space="preserve"> User </w:t>
      </w:r>
      <w:proofErr w:type="spellStart"/>
      <w:r>
        <w:rPr>
          <w:rFonts w:eastAsia="Times New Roman"/>
          <w:sz w:val="20"/>
          <w:szCs w:val="20"/>
        </w:rPr>
        <w:t>Institutions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located</w:t>
      </w:r>
      <w:proofErr w:type="spellEnd"/>
      <w:r>
        <w:rPr>
          <w:rFonts w:eastAsia="Times New Roman"/>
          <w:sz w:val="20"/>
          <w:szCs w:val="20"/>
        </w:rPr>
        <w:t xml:space="preserve"> in </w:t>
      </w:r>
      <w:proofErr w:type="spellStart"/>
      <w:r>
        <w:rPr>
          <w:rFonts w:eastAsia="Times New Roman"/>
          <w:sz w:val="20"/>
          <w:szCs w:val="20"/>
        </w:rPr>
        <w:t>countries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eligible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for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the</w:t>
      </w:r>
      <w:proofErr w:type="spellEnd"/>
      <w:r>
        <w:rPr>
          <w:rFonts w:eastAsia="Times New Roman"/>
          <w:sz w:val="20"/>
          <w:szCs w:val="20"/>
        </w:rPr>
        <w:t xml:space="preserve"> </w:t>
      </w:r>
      <w:hyperlink r:id="rId15" w:history="1">
        <w:proofErr w:type="spellStart"/>
        <w:r>
          <w:rPr>
            <w:rStyle w:val="Kpr"/>
            <w:rFonts w:eastAsia="Times New Roman"/>
            <w:color w:val="0563C1"/>
            <w:sz w:val="20"/>
            <w:szCs w:val="20"/>
          </w:rPr>
          <w:t>Widening</w:t>
        </w:r>
        <w:proofErr w:type="spellEnd"/>
        <w:r>
          <w:rPr>
            <w:rStyle w:val="Kpr"/>
            <w:rFonts w:eastAsia="Times New Roman"/>
            <w:color w:val="0563C1"/>
            <w:sz w:val="20"/>
            <w:szCs w:val="20"/>
          </w:rPr>
          <w:t xml:space="preserve"> </w:t>
        </w:r>
        <w:proofErr w:type="spellStart"/>
        <w:r>
          <w:rPr>
            <w:rStyle w:val="Kpr"/>
            <w:rFonts w:eastAsia="Times New Roman"/>
            <w:color w:val="0563C1"/>
            <w:sz w:val="20"/>
            <w:szCs w:val="20"/>
          </w:rPr>
          <w:t>actions</w:t>
        </w:r>
        <w:proofErr w:type="spellEnd"/>
        <w:r>
          <w:rPr>
            <w:rStyle w:val="Kpr"/>
            <w:rFonts w:eastAsia="Times New Roman"/>
            <w:color w:val="0563C1"/>
            <w:sz w:val="20"/>
            <w:szCs w:val="20"/>
          </w:rPr>
          <w:t xml:space="preserve"> </w:t>
        </w:r>
        <w:proofErr w:type="spellStart"/>
        <w:r>
          <w:rPr>
            <w:rStyle w:val="Kpr"/>
            <w:rFonts w:eastAsia="Times New Roman"/>
            <w:color w:val="0563C1"/>
            <w:sz w:val="20"/>
            <w:szCs w:val="20"/>
          </w:rPr>
          <w:t>under</w:t>
        </w:r>
        <w:proofErr w:type="spellEnd"/>
        <w:r>
          <w:rPr>
            <w:rStyle w:val="Kpr"/>
            <w:rFonts w:eastAsia="Times New Roman"/>
            <w:color w:val="0563C1"/>
            <w:sz w:val="20"/>
            <w:szCs w:val="20"/>
          </w:rPr>
          <w:t xml:space="preserve"> </w:t>
        </w:r>
        <w:proofErr w:type="spellStart"/>
        <w:r>
          <w:rPr>
            <w:rStyle w:val="Kpr"/>
            <w:rFonts w:eastAsia="Times New Roman"/>
            <w:color w:val="0563C1"/>
            <w:sz w:val="20"/>
            <w:szCs w:val="20"/>
          </w:rPr>
          <w:t>the</w:t>
        </w:r>
        <w:proofErr w:type="spellEnd"/>
        <w:r>
          <w:rPr>
            <w:rStyle w:val="Kpr"/>
            <w:rFonts w:eastAsia="Times New Roman"/>
            <w:color w:val="0563C1"/>
            <w:sz w:val="20"/>
            <w:szCs w:val="20"/>
          </w:rPr>
          <w:t xml:space="preserve"> </w:t>
        </w:r>
        <w:proofErr w:type="spellStart"/>
        <w:r>
          <w:rPr>
            <w:rStyle w:val="Kpr"/>
            <w:rFonts w:eastAsia="Times New Roman"/>
            <w:color w:val="0563C1"/>
            <w:sz w:val="20"/>
            <w:szCs w:val="20"/>
          </w:rPr>
          <w:t>Horizon</w:t>
        </w:r>
        <w:proofErr w:type="spellEnd"/>
        <w:r>
          <w:rPr>
            <w:rStyle w:val="Kpr"/>
            <w:rFonts w:eastAsia="Times New Roman"/>
            <w:color w:val="0563C1"/>
            <w:sz w:val="20"/>
            <w:szCs w:val="20"/>
          </w:rPr>
          <w:t xml:space="preserve"> 2020</w:t>
        </w:r>
      </w:hyperlink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the</w:t>
      </w:r>
      <w:proofErr w:type="spellEnd"/>
      <w:r>
        <w:rPr>
          <w:rFonts w:eastAsia="Times New Roman"/>
          <w:sz w:val="20"/>
          <w:szCs w:val="20"/>
        </w:rPr>
        <w:t xml:space="preserve"> JRC can </w:t>
      </w:r>
      <w:proofErr w:type="spellStart"/>
      <w:r>
        <w:rPr>
          <w:rFonts w:eastAsia="Times New Roman"/>
          <w:sz w:val="20"/>
          <w:szCs w:val="20"/>
        </w:rPr>
        <w:t>support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travel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and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subsistence</w:t>
      </w:r>
      <w:proofErr w:type="spellEnd"/>
      <w:r>
        <w:rPr>
          <w:rFonts w:eastAsia="Times New Roman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costs</w:t>
      </w:r>
      <w:proofErr w:type="spellEnd"/>
      <w:r>
        <w:rPr>
          <w:rFonts w:eastAsia="Times New Roman"/>
          <w:sz w:val="20"/>
          <w:szCs w:val="20"/>
        </w:rPr>
        <w:t>.</w:t>
      </w:r>
    </w:p>
    <w:p w14:paraId="0B8F7CF2" w14:textId="77777777" w:rsidR="000D5075" w:rsidRDefault="000D5075" w:rsidP="000D5075">
      <w:pPr>
        <w:spacing w:after="0" w:line="240" w:lineRule="auto"/>
      </w:pPr>
      <w:r>
        <w:rPr>
          <w:sz w:val="20"/>
          <w:szCs w:val="20"/>
        </w:rPr>
        <w:t> </w:t>
      </w:r>
    </w:p>
    <w:p w14:paraId="1AB90E7B" w14:textId="77777777" w:rsidR="000D5075" w:rsidRDefault="000D5075" w:rsidP="000D5075">
      <w:pPr>
        <w:spacing w:after="0" w:line="240" w:lineRule="auto"/>
      </w:pPr>
      <w:proofErr w:type="spellStart"/>
      <w:r>
        <w:rPr>
          <w:sz w:val="20"/>
          <w:szCs w:val="20"/>
        </w:rPr>
        <w:t>You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will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find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all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relevant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information</w:t>
      </w:r>
      <w:proofErr w:type="spellEnd"/>
      <w:r>
        <w:rPr>
          <w:sz w:val="20"/>
          <w:szCs w:val="20"/>
        </w:rPr>
        <w:t xml:space="preserve"> here: </w:t>
      </w:r>
    </w:p>
    <w:p w14:paraId="486D51DC" w14:textId="77777777" w:rsidR="000D5075" w:rsidRDefault="000D5075" w:rsidP="000D5075">
      <w:pPr>
        <w:spacing w:after="0" w:line="240" w:lineRule="auto"/>
      </w:pPr>
      <w:r>
        <w:rPr>
          <w:sz w:val="20"/>
          <w:szCs w:val="20"/>
        </w:rPr>
        <w:t xml:space="preserve">Call: </w:t>
      </w:r>
      <w:hyperlink r:id="rId16" w:history="1">
        <w:r>
          <w:rPr>
            <w:rStyle w:val="Kpr"/>
            <w:color w:val="0563C1"/>
            <w:sz w:val="20"/>
            <w:szCs w:val="20"/>
          </w:rPr>
          <w:t>https://ec.europa.eu/jrc/en/research-facility/open-access/relevance-driven/2020-1-rd-nanobiotech</w:t>
        </w:r>
      </w:hyperlink>
      <w:r>
        <w:rPr>
          <w:sz w:val="20"/>
          <w:szCs w:val="20"/>
        </w:rPr>
        <w:t xml:space="preserve"> </w:t>
      </w:r>
    </w:p>
    <w:p w14:paraId="24EA4236" w14:textId="77777777" w:rsidR="000D5075" w:rsidRDefault="009535DF" w:rsidP="000D5075">
      <w:pPr>
        <w:spacing w:after="0" w:line="240" w:lineRule="auto"/>
      </w:pPr>
      <w:hyperlink r:id="rId17" w:history="1">
        <w:r w:rsidR="000D5075">
          <w:rPr>
            <w:rStyle w:val="Kpr"/>
            <w:color w:val="0563C1"/>
            <w:sz w:val="20"/>
            <w:szCs w:val="20"/>
          </w:rPr>
          <w:t xml:space="preserve">JRC </w:t>
        </w:r>
        <w:proofErr w:type="spellStart"/>
        <w:r w:rsidR="000D5075">
          <w:rPr>
            <w:rStyle w:val="Kpr"/>
            <w:color w:val="0563C1"/>
            <w:sz w:val="20"/>
            <w:szCs w:val="20"/>
          </w:rPr>
          <w:t>Nanobiotechnlology</w:t>
        </w:r>
        <w:proofErr w:type="spellEnd"/>
        <w:r w:rsidR="000D5075">
          <w:rPr>
            <w:rStyle w:val="Kpr"/>
            <w:color w:val="0563C1"/>
            <w:sz w:val="20"/>
            <w:szCs w:val="20"/>
          </w:rPr>
          <w:t xml:space="preserve"> </w:t>
        </w:r>
        <w:proofErr w:type="spellStart"/>
        <w:r w:rsidR="000D5075">
          <w:rPr>
            <w:rStyle w:val="Kpr"/>
            <w:color w:val="0563C1"/>
            <w:sz w:val="20"/>
            <w:szCs w:val="20"/>
          </w:rPr>
          <w:t>Laboratory</w:t>
        </w:r>
        <w:proofErr w:type="spellEnd"/>
      </w:hyperlink>
      <w:r w:rsidR="000D5075">
        <w:rPr>
          <w:sz w:val="20"/>
          <w:szCs w:val="20"/>
        </w:rPr>
        <w:t>:  </w:t>
      </w:r>
      <w:hyperlink r:id="rId18" w:history="1">
        <w:r w:rsidR="000D5075">
          <w:rPr>
            <w:rStyle w:val="Kpr"/>
            <w:color w:val="0563C1"/>
            <w:sz w:val="20"/>
            <w:szCs w:val="20"/>
            <w:lang w:val="en"/>
          </w:rPr>
          <w:t>video</w:t>
        </w:r>
      </w:hyperlink>
      <w:r w:rsidR="000D5075">
        <w:rPr>
          <w:sz w:val="20"/>
          <w:szCs w:val="20"/>
          <w:lang w:val="en"/>
        </w:rPr>
        <w:t xml:space="preserve"> and </w:t>
      </w:r>
      <w:hyperlink r:id="rId19" w:tgtFrame="_blank" w:history="1">
        <w:r w:rsidR="000D5075">
          <w:rPr>
            <w:rStyle w:val="Kpr"/>
            <w:color w:val="0563C1"/>
            <w:sz w:val="20"/>
            <w:szCs w:val="20"/>
          </w:rPr>
          <w:t xml:space="preserve">360° Virtual </w:t>
        </w:r>
        <w:proofErr w:type="spellStart"/>
        <w:r w:rsidR="000D5075">
          <w:rPr>
            <w:rStyle w:val="Kpr"/>
            <w:color w:val="0563C1"/>
            <w:sz w:val="20"/>
            <w:szCs w:val="20"/>
          </w:rPr>
          <w:t>Tour</w:t>
        </w:r>
        <w:proofErr w:type="spellEnd"/>
      </w:hyperlink>
    </w:p>
    <w:p w14:paraId="49FACA90" w14:textId="77777777" w:rsidR="000D5075" w:rsidRDefault="000D5075" w:rsidP="000D5075">
      <w:pPr>
        <w:spacing w:after="0" w:line="240" w:lineRule="auto"/>
      </w:pPr>
      <w:r>
        <w:rPr>
          <w:sz w:val="20"/>
          <w:szCs w:val="20"/>
        </w:rPr>
        <w:t xml:space="preserve">Open Access of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JRC </w:t>
      </w:r>
      <w:proofErr w:type="spellStart"/>
      <w:r>
        <w:rPr>
          <w:sz w:val="20"/>
          <w:szCs w:val="20"/>
        </w:rPr>
        <w:t>Research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Infrastructures</w:t>
      </w:r>
      <w:proofErr w:type="spellEnd"/>
      <w:r>
        <w:rPr>
          <w:sz w:val="20"/>
          <w:szCs w:val="20"/>
        </w:rPr>
        <w:t xml:space="preserve">: </w:t>
      </w:r>
      <w:hyperlink r:id="rId20" w:history="1">
        <w:r>
          <w:rPr>
            <w:rStyle w:val="Kpr"/>
            <w:color w:val="0563C1"/>
            <w:sz w:val="20"/>
            <w:szCs w:val="20"/>
          </w:rPr>
          <w:t>https://ec.europa.eu/jrc/en/research-facility/open-access</w:t>
        </w:r>
      </w:hyperlink>
    </w:p>
    <w:p w14:paraId="36BB2065" w14:textId="5C9CC412" w:rsidR="000D5075" w:rsidRDefault="000D5075" w:rsidP="00D006FC">
      <w:pPr>
        <w:spacing w:after="0" w:line="240" w:lineRule="auto"/>
      </w:pPr>
      <w:r>
        <w:t> </w:t>
      </w:r>
    </w:p>
    <w:p w14:paraId="43D692DD" w14:textId="77777777" w:rsidR="000D5075" w:rsidRDefault="000D5075" w:rsidP="000D5075">
      <w:pPr>
        <w:spacing w:after="0" w:line="240" w:lineRule="auto"/>
      </w:pPr>
      <w:r>
        <w:rPr>
          <w:lang w:eastAsia="en-GB"/>
        </w:rPr>
        <w:t> </w:t>
      </w:r>
    </w:p>
    <w:p w14:paraId="19CD0FC4" w14:textId="77777777" w:rsidR="000D5075" w:rsidRDefault="000D5075" w:rsidP="000D5075">
      <w:pPr>
        <w:spacing w:after="0" w:line="240" w:lineRule="auto"/>
      </w:pPr>
      <w:proofErr w:type="spellStart"/>
      <w:r>
        <w:rPr>
          <w:i/>
          <w:iCs/>
          <w:lang w:eastAsia="en-GB"/>
        </w:rPr>
        <w:t>Calls</w:t>
      </w:r>
      <w:proofErr w:type="spellEnd"/>
      <w:r>
        <w:rPr>
          <w:i/>
          <w:iCs/>
          <w:lang w:eastAsia="en-GB"/>
        </w:rPr>
        <w:t xml:space="preserve"> </w:t>
      </w:r>
      <w:proofErr w:type="spellStart"/>
      <w:r>
        <w:rPr>
          <w:i/>
          <w:iCs/>
          <w:lang w:eastAsia="en-GB"/>
        </w:rPr>
        <w:t>for</w:t>
      </w:r>
      <w:proofErr w:type="spellEnd"/>
      <w:r>
        <w:rPr>
          <w:i/>
          <w:iCs/>
          <w:lang w:eastAsia="en-GB"/>
        </w:rPr>
        <w:t xml:space="preserve"> </w:t>
      </w:r>
      <w:proofErr w:type="spellStart"/>
      <w:r>
        <w:rPr>
          <w:i/>
          <w:iCs/>
          <w:lang w:eastAsia="en-GB"/>
        </w:rPr>
        <w:t>open</w:t>
      </w:r>
      <w:proofErr w:type="spellEnd"/>
      <w:r>
        <w:rPr>
          <w:i/>
          <w:iCs/>
          <w:lang w:eastAsia="en-GB"/>
        </w:rPr>
        <w:t xml:space="preserve"> </w:t>
      </w:r>
      <w:proofErr w:type="spellStart"/>
      <w:r>
        <w:rPr>
          <w:i/>
          <w:iCs/>
          <w:lang w:eastAsia="en-GB"/>
        </w:rPr>
        <w:t>access</w:t>
      </w:r>
      <w:proofErr w:type="spellEnd"/>
      <w:r>
        <w:rPr>
          <w:i/>
          <w:iCs/>
          <w:lang w:eastAsia="en-GB"/>
        </w:rPr>
        <w:t xml:space="preserve"> </w:t>
      </w:r>
      <w:proofErr w:type="spellStart"/>
      <w:r>
        <w:rPr>
          <w:i/>
          <w:iCs/>
          <w:lang w:eastAsia="en-GB"/>
        </w:rPr>
        <w:t>to</w:t>
      </w:r>
      <w:proofErr w:type="spellEnd"/>
      <w:r>
        <w:rPr>
          <w:i/>
          <w:iCs/>
          <w:lang w:eastAsia="en-GB"/>
        </w:rPr>
        <w:t xml:space="preserve"> JRC </w:t>
      </w:r>
      <w:proofErr w:type="spellStart"/>
      <w:r>
        <w:rPr>
          <w:i/>
          <w:iCs/>
          <w:lang w:eastAsia="en-GB"/>
        </w:rPr>
        <w:t>research</w:t>
      </w:r>
      <w:proofErr w:type="spellEnd"/>
      <w:r>
        <w:rPr>
          <w:i/>
          <w:iCs/>
          <w:lang w:eastAsia="en-GB"/>
        </w:rPr>
        <w:t xml:space="preserve"> </w:t>
      </w:r>
      <w:proofErr w:type="spellStart"/>
      <w:r>
        <w:rPr>
          <w:i/>
          <w:iCs/>
          <w:lang w:eastAsia="en-GB"/>
        </w:rPr>
        <w:t>infrastructures</w:t>
      </w:r>
      <w:proofErr w:type="spellEnd"/>
      <w:r>
        <w:rPr>
          <w:i/>
          <w:iCs/>
          <w:lang w:eastAsia="en-GB"/>
        </w:rPr>
        <w:t xml:space="preserve"> </w:t>
      </w:r>
    </w:p>
    <w:p w14:paraId="6AE27FC2" w14:textId="77777777" w:rsidR="000D5075" w:rsidRDefault="000D5075" w:rsidP="000D5075">
      <w:pPr>
        <w:spacing w:after="0" w:line="240" w:lineRule="auto"/>
      </w:pPr>
      <w:proofErr w:type="gramStart"/>
      <w:r>
        <w:rPr>
          <w:i/>
          <w:iCs/>
          <w:lang w:eastAsia="en-GB"/>
        </w:rPr>
        <w:t>can</w:t>
      </w:r>
      <w:proofErr w:type="gramEnd"/>
      <w:r>
        <w:rPr>
          <w:i/>
          <w:iCs/>
          <w:lang w:eastAsia="en-GB"/>
        </w:rPr>
        <w:t xml:space="preserve"> be </w:t>
      </w:r>
      <w:proofErr w:type="spellStart"/>
      <w:r>
        <w:rPr>
          <w:i/>
          <w:iCs/>
          <w:lang w:eastAsia="en-GB"/>
        </w:rPr>
        <w:t>followed</w:t>
      </w:r>
      <w:proofErr w:type="spellEnd"/>
      <w:r>
        <w:rPr>
          <w:i/>
          <w:iCs/>
          <w:lang w:eastAsia="en-GB"/>
        </w:rPr>
        <w:t xml:space="preserve"> </w:t>
      </w:r>
      <w:proofErr w:type="spellStart"/>
      <w:r>
        <w:rPr>
          <w:i/>
          <w:iCs/>
          <w:lang w:eastAsia="en-GB"/>
        </w:rPr>
        <w:t>via</w:t>
      </w:r>
      <w:proofErr w:type="spellEnd"/>
      <w:r>
        <w:rPr>
          <w:i/>
          <w:iCs/>
          <w:lang w:eastAsia="en-GB"/>
        </w:rPr>
        <w:t xml:space="preserve"> JRC </w:t>
      </w:r>
      <w:proofErr w:type="spellStart"/>
      <w:r>
        <w:rPr>
          <w:i/>
          <w:iCs/>
          <w:lang w:eastAsia="en-GB"/>
        </w:rPr>
        <w:t>newsletter</w:t>
      </w:r>
      <w:proofErr w:type="spellEnd"/>
      <w:r>
        <w:rPr>
          <w:i/>
          <w:iCs/>
          <w:lang w:eastAsia="en-GB"/>
        </w:rPr>
        <w:t xml:space="preserve"> </w:t>
      </w:r>
      <w:proofErr w:type="spellStart"/>
      <w:r>
        <w:rPr>
          <w:i/>
          <w:iCs/>
          <w:lang w:eastAsia="en-GB"/>
        </w:rPr>
        <w:t>or</w:t>
      </w:r>
      <w:proofErr w:type="spellEnd"/>
      <w:r>
        <w:rPr>
          <w:i/>
          <w:iCs/>
          <w:lang w:eastAsia="en-GB"/>
        </w:rPr>
        <w:t xml:space="preserve"> </w:t>
      </w:r>
      <w:proofErr w:type="spellStart"/>
      <w:r>
        <w:rPr>
          <w:i/>
          <w:iCs/>
          <w:lang w:eastAsia="en-GB"/>
        </w:rPr>
        <w:t>social</w:t>
      </w:r>
      <w:proofErr w:type="spellEnd"/>
      <w:r>
        <w:rPr>
          <w:i/>
          <w:iCs/>
          <w:lang w:eastAsia="en-GB"/>
        </w:rPr>
        <w:t xml:space="preserve"> </w:t>
      </w:r>
      <w:proofErr w:type="spellStart"/>
      <w:r>
        <w:rPr>
          <w:i/>
          <w:iCs/>
          <w:lang w:eastAsia="en-GB"/>
        </w:rPr>
        <w:t>media</w:t>
      </w:r>
      <w:proofErr w:type="spellEnd"/>
    </w:p>
    <w:p w14:paraId="0E4C201A" w14:textId="77777777" w:rsidR="000D5075" w:rsidRDefault="000D5075" w:rsidP="000D5075">
      <w:pPr>
        <w:spacing w:after="0" w:line="240" w:lineRule="auto"/>
      </w:pPr>
      <w:r>
        <w:rPr>
          <w:lang w:eastAsia="en-GB"/>
        </w:rPr>
        <w:t> </w:t>
      </w:r>
    </w:p>
    <w:p w14:paraId="19784B35" w14:textId="77777777" w:rsidR="000D5075" w:rsidRDefault="009535DF" w:rsidP="000D5075">
      <w:pPr>
        <w:spacing w:after="0" w:line="240" w:lineRule="auto"/>
      </w:pPr>
      <w:hyperlink r:id="rId21" w:history="1">
        <w:r w:rsidR="000D5075">
          <w:rPr>
            <w:rStyle w:val="Kpr"/>
            <w:lang w:eastAsia="en-GB"/>
          </w:rPr>
          <w:t>https://ec.europa.eu/jrc/en/science-area/standards</w:t>
        </w:r>
      </w:hyperlink>
    </w:p>
    <w:p w14:paraId="36E9E7DA" w14:textId="77777777" w:rsidR="000D5075" w:rsidRDefault="009535DF" w:rsidP="000D5075">
      <w:pPr>
        <w:spacing w:after="0" w:line="240" w:lineRule="auto"/>
      </w:pPr>
      <w:hyperlink r:id="rId22" w:history="1">
        <w:r w:rsidR="000D5075">
          <w:rPr>
            <w:rStyle w:val="Kpr"/>
            <w:lang w:eastAsia="en-GB"/>
          </w:rPr>
          <w:t>https://ec.europa.eu/jrc/en/research-facility/open-access</w:t>
        </w:r>
      </w:hyperlink>
      <w:r w:rsidR="000D5075">
        <w:rPr>
          <w:lang w:eastAsia="en-GB"/>
        </w:rPr>
        <w:t xml:space="preserve"> </w:t>
      </w:r>
    </w:p>
    <w:p w14:paraId="4670677E" w14:textId="3597FD24" w:rsidR="000D5075" w:rsidRDefault="000D5075" w:rsidP="000D5075">
      <w:r>
        <w:t> </w:t>
      </w:r>
    </w:p>
    <w:p w14:paraId="22D70D65" w14:textId="2F29A1D3" w:rsidR="00D006FC" w:rsidRDefault="00D006FC" w:rsidP="000D5075">
      <w:r>
        <w:rPr>
          <w:noProof/>
          <w:lang w:eastAsia="tr-TR"/>
        </w:rPr>
        <w:lastRenderedPageBreak/>
        <w:drawing>
          <wp:inline distT="0" distB="0" distL="0" distR="0" wp14:anchorId="6B31F617" wp14:editId="76BAB368">
            <wp:extent cx="952500" cy="466725"/>
            <wp:effectExtent l="0" t="0" r="0" b="9525"/>
            <wp:docPr id="9" name="Resim 9" descr="cid:image002.gif@01D6A95D.DE5D2F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gif@01D6A95D.DE5D2FB0"/>
                    <pic:cNvPicPr>
                      <a:picLocks noChangeAspect="1" noChangeArrowheads="1"/>
                    </pic:cNvPicPr>
                  </pic:nvPicPr>
                  <pic:blipFill>
                    <a:blip r:embed="rId23"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18"/>
          <w:szCs w:val="18"/>
          <w:lang w:eastAsia="en-GB"/>
        </w:rPr>
        <w:br/>
      </w:r>
      <w:proofErr w:type="spellStart"/>
      <w:r>
        <w:rPr>
          <w:rFonts w:ascii="Verdana" w:hAnsi="Verdana"/>
          <w:b/>
          <w:bCs/>
          <w:sz w:val="16"/>
          <w:szCs w:val="16"/>
          <w:lang w:eastAsia="en-GB"/>
        </w:rPr>
        <w:t>European</w:t>
      </w:r>
      <w:proofErr w:type="spellEnd"/>
      <w:r>
        <w:rPr>
          <w:rFonts w:ascii="Verdana" w:hAnsi="Verdana"/>
          <w:b/>
          <w:bCs/>
          <w:sz w:val="16"/>
          <w:szCs w:val="16"/>
          <w:lang w:eastAsia="en-GB"/>
        </w:rPr>
        <w:t xml:space="preserve"> </w:t>
      </w:r>
      <w:proofErr w:type="spellStart"/>
      <w:r>
        <w:rPr>
          <w:rFonts w:ascii="Verdana" w:hAnsi="Verdana"/>
          <w:b/>
          <w:bCs/>
          <w:sz w:val="16"/>
          <w:szCs w:val="16"/>
          <w:lang w:eastAsia="en-GB"/>
        </w:rPr>
        <w:t>Commission</w:t>
      </w:r>
      <w:proofErr w:type="spellEnd"/>
      <w:r>
        <w:rPr>
          <w:b/>
          <w:bCs/>
          <w:sz w:val="16"/>
          <w:szCs w:val="16"/>
          <w:lang w:eastAsia="en-GB"/>
        </w:rPr>
        <w:br/>
      </w:r>
      <w:r>
        <w:rPr>
          <w:rFonts w:ascii="Verdana" w:hAnsi="Verdana"/>
          <w:sz w:val="16"/>
          <w:szCs w:val="16"/>
          <w:lang w:eastAsia="en-GB"/>
        </w:rPr>
        <w:t xml:space="preserve">DG </w:t>
      </w:r>
      <w:proofErr w:type="spellStart"/>
      <w:r>
        <w:rPr>
          <w:rFonts w:ascii="Verdana" w:hAnsi="Verdana"/>
          <w:sz w:val="16"/>
          <w:szCs w:val="16"/>
          <w:lang w:eastAsia="en-GB"/>
        </w:rPr>
        <w:t>Joint</w:t>
      </w:r>
      <w:proofErr w:type="spellEnd"/>
      <w:r>
        <w:rPr>
          <w:rFonts w:ascii="Verdana" w:hAnsi="Verdana"/>
          <w:sz w:val="16"/>
          <w:szCs w:val="16"/>
          <w:lang w:eastAsia="en-GB"/>
        </w:rPr>
        <w:t xml:space="preserve"> </w:t>
      </w:r>
      <w:proofErr w:type="spellStart"/>
      <w:r>
        <w:rPr>
          <w:rFonts w:ascii="Verdana" w:hAnsi="Verdana"/>
          <w:sz w:val="16"/>
          <w:szCs w:val="16"/>
          <w:lang w:eastAsia="en-GB"/>
        </w:rPr>
        <w:t>Research</w:t>
      </w:r>
      <w:proofErr w:type="spellEnd"/>
      <w:r>
        <w:rPr>
          <w:rFonts w:ascii="Verdana" w:hAnsi="Verdana"/>
          <w:sz w:val="16"/>
          <w:szCs w:val="16"/>
          <w:lang w:eastAsia="en-GB"/>
        </w:rPr>
        <w:t xml:space="preserve"> </w:t>
      </w:r>
      <w:proofErr w:type="spellStart"/>
      <w:r>
        <w:rPr>
          <w:rFonts w:ascii="Verdana" w:hAnsi="Verdana"/>
          <w:sz w:val="16"/>
          <w:szCs w:val="16"/>
          <w:lang w:eastAsia="en-GB"/>
        </w:rPr>
        <w:t>Centre</w:t>
      </w:r>
      <w:proofErr w:type="spellEnd"/>
      <w:r>
        <w:rPr>
          <w:b/>
          <w:bCs/>
          <w:sz w:val="16"/>
          <w:szCs w:val="16"/>
          <w:lang w:eastAsia="en-GB"/>
        </w:rPr>
        <w:br/>
      </w:r>
      <w:proofErr w:type="spellStart"/>
      <w:r>
        <w:rPr>
          <w:rFonts w:ascii="Verdana" w:hAnsi="Verdana"/>
          <w:sz w:val="16"/>
          <w:szCs w:val="16"/>
          <w:lang w:eastAsia="en-GB"/>
        </w:rPr>
        <w:t>Scientific</w:t>
      </w:r>
      <w:proofErr w:type="spellEnd"/>
      <w:r>
        <w:rPr>
          <w:rFonts w:ascii="Verdana" w:hAnsi="Verdana"/>
          <w:sz w:val="16"/>
          <w:szCs w:val="16"/>
          <w:lang w:eastAsia="en-GB"/>
        </w:rPr>
        <w:t xml:space="preserve"> Development</w:t>
      </w:r>
      <w:r>
        <w:rPr>
          <w:b/>
          <w:bCs/>
          <w:sz w:val="16"/>
          <w:szCs w:val="16"/>
          <w:lang w:eastAsia="en-GB"/>
        </w:rPr>
        <w:br/>
      </w:r>
      <w:r>
        <w:rPr>
          <w:b/>
          <w:bCs/>
          <w:sz w:val="16"/>
          <w:szCs w:val="16"/>
          <w:lang w:eastAsia="en-GB"/>
        </w:rPr>
        <w:br/>
      </w:r>
    </w:p>
    <w:p w14:paraId="613F29AF" w14:textId="77777777" w:rsidR="0090440A" w:rsidRDefault="000D5075" w:rsidP="000D5075"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</w:p>
    <w:sectPr w:rsidR="00904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73C1"/>
    <w:multiLevelType w:val="hybridMultilevel"/>
    <w:tmpl w:val="025A7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C5F17"/>
    <w:multiLevelType w:val="hybridMultilevel"/>
    <w:tmpl w:val="7CDA4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5D4"/>
    <w:rsid w:val="000D5075"/>
    <w:rsid w:val="0090440A"/>
    <w:rsid w:val="009535DF"/>
    <w:rsid w:val="00C475D4"/>
    <w:rsid w:val="00D0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1B96C"/>
  <w15:chartTrackingRefBased/>
  <w15:docId w15:val="{2F50696E-3860-4372-B2BF-2512D1674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075"/>
    <w:pPr>
      <w:spacing w:after="200" w:line="276" w:lineRule="auto"/>
    </w:pPr>
    <w:rPr>
      <w:rFonts w:ascii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0D50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9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jrc/en/research-facility/open-access/relevance-driven/2020-1-rd-nanobiotech" TargetMode="External"/><Relationship Id="rId13" Type="http://schemas.openxmlformats.org/officeDocument/2006/relationships/hyperlink" Target="https://ec.europa.eu/jrc/en/research-facility/nanobiotechnology-laboratory" TargetMode="External"/><Relationship Id="rId18" Type="http://schemas.openxmlformats.org/officeDocument/2006/relationships/hyperlink" Target="https://visitors-centre.jrc.ec.europa.eu/en/media/videos/open-access-nanobiotechnology-laboratory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ec.europa.eu/jrc/en/science-area/standards" TargetMode="External"/><Relationship Id="rId7" Type="http://schemas.openxmlformats.org/officeDocument/2006/relationships/hyperlink" Target="https://ec.europa.eu/jrc/en/about/jrc-site/ispra" TargetMode="External"/><Relationship Id="rId12" Type="http://schemas.openxmlformats.org/officeDocument/2006/relationships/image" Target="cid:image001.jpg@01D6A95D.DE5D2FB0" TargetMode="External"/><Relationship Id="rId17" Type="http://schemas.openxmlformats.org/officeDocument/2006/relationships/hyperlink" Target="https://ec.europa.eu/jrc/en/research-facility/nanobiotechnology-laboratory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c.europa.eu/jrc/en/research-facility/open-access/relevance-driven/2020-1-rd-nanobiotech" TargetMode="External"/><Relationship Id="rId20" Type="http://schemas.openxmlformats.org/officeDocument/2006/relationships/hyperlink" Target="https://ec.europa.eu/jrc/en/research-facility/open-acces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c.europa.eu/jrc/en" TargetMode="External"/><Relationship Id="rId11" Type="http://schemas.openxmlformats.org/officeDocument/2006/relationships/image" Target="media/image1.jpeg"/><Relationship Id="rId24" Type="http://schemas.openxmlformats.org/officeDocument/2006/relationships/image" Target="cid:image002.gif@01D6A95D.DE5D2FB0" TargetMode="External"/><Relationship Id="rId5" Type="http://schemas.openxmlformats.org/officeDocument/2006/relationships/hyperlink" Target="https://ec.europa.eu/jrc/en/research-facility/open-access/relevance-driven/2020-1-rd-nanobiotech" TargetMode="External"/><Relationship Id="rId15" Type="http://schemas.openxmlformats.org/officeDocument/2006/relationships/hyperlink" Target="https://ec.europa.eu/programmes/horizon2020/en/h2020-section/spreading-excellence-and-widening-participation" TargetMode="External"/><Relationship Id="rId23" Type="http://schemas.openxmlformats.org/officeDocument/2006/relationships/image" Target="media/image2.gif"/><Relationship Id="rId10" Type="http://schemas.openxmlformats.org/officeDocument/2006/relationships/hyperlink" Target="https://ec.europa.eu/jrc/en/research-facility/open-access/relevance-driven/2020-1-rd-nanobiotech" TargetMode="External"/><Relationship Id="rId19" Type="http://schemas.openxmlformats.org/officeDocument/2006/relationships/hyperlink" Target="https://visitors-centre.jrc.ec.europa.eu/en/media/virtualtours/take-virtual-tour-nanobiotechnology-laborato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.europa.eu/programmes/horizon2020/en/h2020-section/spreading-excellence-and-widening-participation" TargetMode="External"/><Relationship Id="rId14" Type="http://schemas.openxmlformats.org/officeDocument/2006/relationships/hyperlink" Target="https://ec.europa.eu/jrc/en/research-facility/open-access/relevance-driven/2020-1-rd-nanobiotech" TargetMode="External"/><Relationship Id="rId22" Type="http://schemas.openxmlformats.org/officeDocument/2006/relationships/hyperlink" Target="https://ec.europa.eu/jrc/en/research-facility/open-access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CANAN UNVAN</cp:lastModifiedBy>
  <cp:revision>2</cp:revision>
  <dcterms:created xsi:type="dcterms:W3CDTF">2020-11-02T13:32:00Z</dcterms:created>
  <dcterms:modified xsi:type="dcterms:W3CDTF">2020-11-02T13:32:00Z</dcterms:modified>
</cp:coreProperties>
</file>