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108" w:rsidRPr="00B17C7B" w:rsidRDefault="00864108" w:rsidP="007C4FC6">
      <w:pPr>
        <w:pStyle w:val="TableParagraph"/>
        <w:ind w:left="737" w:right="724"/>
        <w:jc w:val="center"/>
        <w:rPr>
          <w:b/>
          <w:sz w:val="20"/>
          <w:szCs w:val="20"/>
        </w:rPr>
      </w:pPr>
      <w:r w:rsidRPr="00B17C7B">
        <w:rPr>
          <w:b/>
          <w:sz w:val="20"/>
          <w:szCs w:val="20"/>
        </w:rPr>
        <w:t>T.C.</w:t>
      </w:r>
    </w:p>
    <w:p w:rsidR="00FB2EFA" w:rsidRPr="00B17C7B" w:rsidRDefault="00FB2EFA" w:rsidP="007C4FC6">
      <w:pPr>
        <w:pStyle w:val="TableParagraph"/>
        <w:ind w:left="737" w:right="724"/>
        <w:jc w:val="center"/>
        <w:rPr>
          <w:b/>
          <w:sz w:val="20"/>
          <w:szCs w:val="20"/>
        </w:rPr>
      </w:pPr>
      <w:r w:rsidRPr="00B17C7B">
        <w:rPr>
          <w:b/>
          <w:sz w:val="20"/>
          <w:szCs w:val="20"/>
        </w:rPr>
        <w:t>UŞAK ÜNİVERSİTESİ</w:t>
      </w:r>
    </w:p>
    <w:p w:rsidR="00FB2EFA" w:rsidRPr="00B17C7B" w:rsidRDefault="0037220E" w:rsidP="007C4FC6">
      <w:pPr>
        <w:pStyle w:val="GvdeMetni"/>
        <w:ind w:left="116" w:right="513" w:firstLine="707"/>
        <w:jc w:val="center"/>
        <w:rPr>
          <w:b/>
          <w:sz w:val="20"/>
          <w:szCs w:val="20"/>
        </w:rPr>
      </w:pPr>
      <w:r w:rsidRPr="00B17C7B">
        <w:rPr>
          <w:b/>
          <w:sz w:val="20"/>
          <w:szCs w:val="20"/>
        </w:rPr>
        <w:t>20</w:t>
      </w:r>
      <w:r w:rsidR="00907E89" w:rsidRPr="00B17C7B">
        <w:rPr>
          <w:b/>
          <w:sz w:val="20"/>
          <w:szCs w:val="20"/>
        </w:rPr>
        <w:t>2</w:t>
      </w:r>
      <w:r w:rsidR="000361D5" w:rsidRPr="00B17C7B">
        <w:rPr>
          <w:b/>
          <w:sz w:val="20"/>
          <w:szCs w:val="20"/>
        </w:rPr>
        <w:t>5</w:t>
      </w:r>
      <w:r w:rsidR="00FB2EFA" w:rsidRPr="00B17C7B">
        <w:rPr>
          <w:b/>
          <w:sz w:val="20"/>
          <w:szCs w:val="20"/>
        </w:rPr>
        <w:t xml:space="preserve"> Yılı Akademik Faaliyetlerine İlişkin Akademik Teşvik Başvuru Takvimi</w:t>
      </w:r>
    </w:p>
    <w:p w:rsidR="00FB2EFA" w:rsidRPr="00B17C7B" w:rsidRDefault="00FB2EFA" w:rsidP="007C4FC6">
      <w:pPr>
        <w:pStyle w:val="GvdeMetni"/>
        <w:ind w:left="116" w:right="513" w:firstLine="707"/>
        <w:jc w:val="both"/>
        <w:rPr>
          <w:sz w:val="20"/>
          <w:szCs w:val="20"/>
        </w:rPr>
      </w:pPr>
    </w:p>
    <w:p w:rsidR="00C306C9" w:rsidRPr="00B17C7B" w:rsidRDefault="00B45AA4" w:rsidP="007C4FC6">
      <w:pPr>
        <w:pStyle w:val="GvdeMetni"/>
        <w:ind w:right="510"/>
        <w:jc w:val="both"/>
        <w:rPr>
          <w:sz w:val="20"/>
          <w:szCs w:val="20"/>
        </w:rPr>
      </w:pPr>
      <w:r w:rsidRPr="00B17C7B">
        <w:rPr>
          <w:color w:val="000000" w:themeColor="text1"/>
          <w:sz w:val="20"/>
          <w:szCs w:val="20"/>
        </w:rPr>
        <w:t>Akademik Teşvik başvurularına ilişkin Üniversitemiz Akademik Teşvik Düzenleme, Denetleme ve İtiraz Komisyonu başkanlığı tarafından 20</w:t>
      </w:r>
      <w:r w:rsidR="00907E89" w:rsidRPr="00B17C7B">
        <w:rPr>
          <w:color w:val="000000" w:themeColor="text1"/>
          <w:sz w:val="20"/>
          <w:szCs w:val="20"/>
        </w:rPr>
        <w:t>2</w:t>
      </w:r>
      <w:r w:rsidR="000361D5" w:rsidRPr="00B17C7B">
        <w:rPr>
          <w:color w:val="000000" w:themeColor="text1"/>
          <w:sz w:val="20"/>
          <w:szCs w:val="20"/>
        </w:rPr>
        <w:t>5</w:t>
      </w:r>
      <w:r w:rsidR="004F4285" w:rsidRPr="00B17C7B">
        <w:rPr>
          <w:color w:val="000000" w:themeColor="text1"/>
          <w:sz w:val="20"/>
          <w:szCs w:val="20"/>
        </w:rPr>
        <w:t xml:space="preserve"> </w:t>
      </w:r>
      <w:r w:rsidRPr="00B17C7B">
        <w:rPr>
          <w:color w:val="000000" w:themeColor="text1"/>
          <w:sz w:val="20"/>
          <w:szCs w:val="20"/>
        </w:rPr>
        <w:t xml:space="preserve">yılı Akademik Teşvik Başvuru Takvimi aşağıda belirlenmiştir. Akademik Personel faaliyet bilgilerini YÖKSİS sistemine girerek, </w:t>
      </w:r>
      <w:proofErr w:type="spellStart"/>
      <w:r w:rsidRPr="00B17C7B">
        <w:rPr>
          <w:color w:val="000000" w:themeColor="text1"/>
          <w:sz w:val="20"/>
          <w:szCs w:val="20"/>
        </w:rPr>
        <w:t>YÖKSİS’ten</w:t>
      </w:r>
      <w:proofErr w:type="spellEnd"/>
      <w:r w:rsidRPr="00B17C7B">
        <w:rPr>
          <w:color w:val="000000" w:themeColor="text1"/>
          <w:sz w:val="20"/>
          <w:szCs w:val="20"/>
        </w:rPr>
        <w:t xml:space="preserve"> alacağı başvuru</w:t>
      </w:r>
      <w:r w:rsidRPr="00B17C7B">
        <w:rPr>
          <w:color w:val="000000" w:themeColor="text1"/>
          <w:spacing w:val="-6"/>
          <w:sz w:val="20"/>
          <w:szCs w:val="20"/>
        </w:rPr>
        <w:t xml:space="preserve"> </w:t>
      </w:r>
      <w:r w:rsidRPr="00B17C7B">
        <w:rPr>
          <w:color w:val="000000" w:themeColor="text1"/>
          <w:sz w:val="20"/>
          <w:szCs w:val="20"/>
        </w:rPr>
        <w:t>formu</w:t>
      </w:r>
      <w:r w:rsidRPr="00B17C7B">
        <w:rPr>
          <w:color w:val="000000" w:themeColor="text1"/>
          <w:spacing w:val="-5"/>
          <w:sz w:val="20"/>
          <w:szCs w:val="20"/>
        </w:rPr>
        <w:t xml:space="preserve"> </w:t>
      </w:r>
      <w:r w:rsidRPr="00B17C7B">
        <w:rPr>
          <w:color w:val="000000" w:themeColor="text1"/>
          <w:spacing w:val="-4"/>
          <w:sz w:val="20"/>
          <w:szCs w:val="20"/>
        </w:rPr>
        <w:t xml:space="preserve">ile birlikte </w:t>
      </w:r>
      <w:r w:rsidRPr="00B17C7B">
        <w:rPr>
          <w:color w:val="000000" w:themeColor="text1"/>
          <w:sz w:val="20"/>
          <w:szCs w:val="20"/>
        </w:rPr>
        <w:t>akademik</w:t>
      </w:r>
      <w:r w:rsidRPr="00B17C7B">
        <w:rPr>
          <w:color w:val="000000" w:themeColor="text1"/>
          <w:spacing w:val="-5"/>
          <w:sz w:val="20"/>
          <w:szCs w:val="20"/>
        </w:rPr>
        <w:t xml:space="preserve"> </w:t>
      </w:r>
      <w:r w:rsidRPr="00B17C7B">
        <w:rPr>
          <w:color w:val="000000" w:themeColor="text1"/>
          <w:sz w:val="20"/>
          <w:szCs w:val="20"/>
        </w:rPr>
        <w:t>faaliyetlere ilişkin kanıt ve belgeleri</w:t>
      </w:r>
      <w:r w:rsidRPr="00B17C7B">
        <w:rPr>
          <w:color w:val="000000" w:themeColor="text1"/>
          <w:spacing w:val="-2"/>
          <w:sz w:val="20"/>
          <w:szCs w:val="20"/>
        </w:rPr>
        <w:t xml:space="preserve"> </w:t>
      </w:r>
      <w:r w:rsidRPr="00B17C7B">
        <w:rPr>
          <w:color w:val="000000" w:themeColor="text1"/>
          <w:sz w:val="20"/>
          <w:szCs w:val="20"/>
        </w:rPr>
        <w:t>içeren</w:t>
      </w:r>
      <w:r w:rsidRPr="00B17C7B">
        <w:rPr>
          <w:color w:val="000000" w:themeColor="text1"/>
          <w:spacing w:val="-5"/>
          <w:sz w:val="20"/>
          <w:szCs w:val="20"/>
        </w:rPr>
        <w:t xml:space="preserve"> </w:t>
      </w:r>
      <w:r w:rsidR="00907E89" w:rsidRPr="00B17C7B">
        <w:rPr>
          <w:color w:val="000000" w:themeColor="text1"/>
          <w:sz w:val="20"/>
          <w:szCs w:val="20"/>
        </w:rPr>
        <w:t>dosyaları 0</w:t>
      </w:r>
      <w:r w:rsidR="00702D1C" w:rsidRPr="00B17C7B">
        <w:rPr>
          <w:color w:val="000000" w:themeColor="text1"/>
          <w:sz w:val="20"/>
          <w:szCs w:val="20"/>
        </w:rPr>
        <w:t>1</w:t>
      </w:r>
      <w:r w:rsidR="00907E89" w:rsidRPr="00B17C7B">
        <w:rPr>
          <w:color w:val="000000" w:themeColor="text1"/>
          <w:sz w:val="20"/>
          <w:szCs w:val="20"/>
        </w:rPr>
        <w:t>/01/202</w:t>
      </w:r>
      <w:r w:rsidR="000361D5" w:rsidRPr="00B17C7B">
        <w:rPr>
          <w:color w:val="000000" w:themeColor="text1"/>
          <w:sz w:val="20"/>
          <w:szCs w:val="20"/>
        </w:rPr>
        <w:t>6</w:t>
      </w:r>
      <w:r w:rsidR="001A3123" w:rsidRPr="00B17C7B">
        <w:rPr>
          <w:color w:val="000000" w:themeColor="text1"/>
          <w:sz w:val="20"/>
          <w:szCs w:val="20"/>
        </w:rPr>
        <w:t>-</w:t>
      </w:r>
      <w:r w:rsidR="000361D5" w:rsidRPr="00B17C7B">
        <w:rPr>
          <w:color w:val="000000" w:themeColor="text1"/>
          <w:sz w:val="20"/>
          <w:szCs w:val="20"/>
        </w:rPr>
        <w:t>11</w:t>
      </w:r>
      <w:r w:rsidRPr="00B17C7B">
        <w:rPr>
          <w:color w:val="000000" w:themeColor="text1"/>
          <w:sz w:val="20"/>
          <w:szCs w:val="20"/>
        </w:rPr>
        <w:t>/01/202</w:t>
      </w:r>
      <w:r w:rsidR="000361D5" w:rsidRPr="00B17C7B">
        <w:rPr>
          <w:color w:val="000000" w:themeColor="text1"/>
          <w:sz w:val="20"/>
          <w:szCs w:val="20"/>
        </w:rPr>
        <w:t>6</w:t>
      </w:r>
      <w:r w:rsidR="00907E89" w:rsidRPr="00B17C7B">
        <w:rPr>
          <w:color w:val="000000" w:themeColor="text1"/>
          <w:sz w:val="20"/>
          <w:szCs w:val="20"/>
        </w:rPr>
        <w:t xml:space="preserve"> </w:t>
      </w:r>
      <w:r w:rsidRPr="00B17C7B">
        <w:rPr>
          <w:color w:val="000000" w:themeColor="text1"/>
          <w:sz w:val="20"/>
          <w:szCs w:val="20"/>
        </w:rPr>
        <w:t>tarihleri arasında</w:t>
      </w:r>
      <w:r w:rsidRPr="00B17C7B">
        <w:rPr>
          <w:color w:val="000000" w:themeColor="text1"/>
          <w:spacing w:val="-4"/>
          <w:sz w:val="20"/>
          <w:szCs w:val="20"/>
        </w:rPr>
        <w:t xml:space="preserve"> </w:t>
      </w:r>
      <w:hyperlink r:id="rId7" w:history="1">
        <w:r w:rsidR="001A3123" w:rsidRPr="00B17C7B">
          <w:rPr>
            <w:rStyle w:val="Kpr"/>
            <w:spacing w:val="-4"/>
            <w:sz w:val="20"/>
            <w:szCs w:val="20"/>
          </w:rPr>
          <w:t>https://akademiktesvik.usak.edu.tr</w:t>
        </w:r>
      </w:hyperlink>
      <w:r w:rsidRPr="00B17C7B">
        <w:rPr>
          <w:color w:val="000000" w:themeColor="text1"/>
          <w:spacing w:val="-4"/>
          <w:sz w:val="20"/>
          <w:szCs w:val="20"/>
        </w:rPr>
        <w:t xml:space="preserve"> adresine</w:t>
      </w:r>
      <w:r w:rsidR="007D7F32" w:rsidRPr="00B17C7B">
        <w:rPr>
          <w:color w:val="000000" w:themeColor="text1"/>
          <w:spacing w:val="-4"/>
          <w:sz w:val="20"/>
          <w:szCs w:val="20"/>
        </w:rPr>
        <w:t xml:space="preserve"> </w:t>
      </w:r>
      <w:r w:rsidR="000361D5" w:rsidRPr="00B17C7B">
        <w:rPr>
          <w:color w:val="000000" w:themeColor="text1"/>
          <w:sz w:val="20"/>
          <w:szCs w:val="20"/>
        </w:rPr>
        <w:t>11</w:t>
      </w:r>
      <w:r w:rsidR="007D7F32" w:rsidRPr="00B17C7B">
        <w:rPr>
          <w:color w:val="000000" w:themeColor="text1"/>
          <w:sz w:val="20"/>
          <w:szCs w:val="20"/>
        </w:rPr>
        <w:t>/01/202</w:t>
      </w:r>
      <w:r w:rsidR="000361D5" w:rsidRPr="00B17C7B">
        <w:rPr>
          <w:color w:val="000000" w:themeColor="text1"/>
          <w:sz w:val="20"/>
          <w:szCs w:val="20"/>
        </w:rPr>
        <w:t>6</w:t>
      </w:r>
      <w:r w:rsidR="007D7F32" w:rsidRPr="00B17C7B">
        <w:rPr>
          <w:color w:val="000000" w:themeColor="text1"/>
          <w:sz w:val="20"/>
          <w:szCs w:val="20"/>
        </w:rPr>
        <w:t xml:space="preserve"> günü saat 23.59’a kadar</w:t>
      </w:r>
      <w:r w:rsidRPr="00B17C7B">
        <w:rPr>
          <w:color w:val="000000" w:themeColor="text1"/>
          <w:spacing w:val="-4"/>
          <w:sz w:val="20"/>
          <w:szCs w:val="20"/>
        </w:rPr>
        <w:t xml:space="preserve"> giriş yaparak sisteme yükleme yapması gerekmektedir. İmza gerektiren belgeler imzalanarak ve tarayıcıdan tarandıktan sonra sisteme PDF dosyası olarak yüklenmelidir. Süreç takibi bu sayfa üzerinden yapılacak ve başvuru sahipleri puanlarını bu sistem üzerinden takip edeceklerdir. </w:t>
      </w:r>
      <w:r w:rsidR="00BE754D" w:rsidRPr="00B17C7B">
        <w:rPr>
          <w:color w:val="000000" w:themeColor="text1"/>
          <w:spacing w:val="-4"/>
          <w:sz w:val="20"/>
          <w:szCs w:val="20"/>
        </w:rPr>
        <w:t>Ç</w:t>
      </w:r>
      <w:r w:rsidRPr="00B17C7B">
        <w:rPr>
          <w:color w:val="000000" w:themeColor="text1"/>
          <w:spacing w:val="-4"/>
          <w:sz w:val="20"/>
          <w:szCs w:val="20"/>
        </w:rPr>
        <w:t xml:space="preserve">ıktı alınarak başvuru yapılmayacaktır. Sisteme girişler domain şifreleri ile yapılacaktır. </w:t>
      </w:r>
      <w:r w:rsidR="009E2B78" w:rsidRPr="00B17C7B">
        <w:rPr>
          <w:b/>
          <w:sz w:val="20"/>
          <w:szCs w:val="20"/>
        </w:rPr>
        <w:t>Akademik Teşvik Düzenleme, Denetleme ve İtiraz Komisyonu tarafından ilan edilen takvim dışında yapılan ba</w:t>
      </w:r>
      <w:r w:rsidR="006D2973" w:rsidRPr="00B17C7B">
        <w:rPr>
          <w:b/>
          <w:sz w:val="20"/>
          <w:szCs w:val="20"/>
        </w:rPr>
        <w:t>şvurular değerlendirmeye alınmayacaktır.</w:t>
      </w:r>
    </w:p>
    <w:p w:rsidR="00C306C9" w:rsidRPr="00B17C7B" w:rsidRDefault="00C306C9" w:rsidP="007C4FC6">
      <w:pPr>
        <w:pStyle w:val="GvdeMetni"/>
        <w:rPr>
          <w:sz w:val="20"/>
          <w:szCs w:val="20"/>
        </w:rPr>
      </w:pPr>
    </w:p>
    <w:tbl>
      <w:tblPr>
        <w:tblStyle w:val="TabloKlavuzu"/>
        <w:tblW w:w="0" w:type="auto"/>
        <w:tblLook w:val="04A0" w:firstRow="1" w:lastRow="0" w:firstColumn="1" w:lastColumn="0" w:noHBand="0" w:noVBand="1"/>
      </w:tblPr>
      <w:tblGrid>
        <w:gridCol w:w="777"/>
        <w:gridCol w:w="6238"/>
        <w:gridCol w:w="1769"/>
      </w:tblGrid>
      <w:tr w:rsidR="00FB2EFA" w:rsidRPr="00B17C7B" w:rsidTr="00F14595">
        <w:trPr>
          <w:trHeight w:val="390"/>
        </w:trPr>
        <w:tc>
          <w:tcPr>
            <w:tcW w:w="777" w:type="dxa"/>
          </w:tcPr>
          <w:p w:rsidR="00FB2EFA" w:rsidRPr="00B17C7B" w:rsidRDefault="00FB2EFA" w:rsidP="007C4FC6">
            <w:pPr>
              <w:pStyle w:val="GvdeMetni"/>
              <w:rPr>
                <w:b/>
                <w:sz w:val="20"/>
                <w:szCs w:val="20"/>
              </w:rPr>
            </w:pPr>
            <w:proofErr w:type="spellStart"/>
            <w:r w:rsidRPr="00B17C7B">
              <w:rPr>
                <w:b/>
                <w:sz w:val="20"/>
                <w:szCs w:val="20"/>
              </w:rPr>
              <w:t>S.Nu</w:t>
            </w:r>
            <w:proofErr w:type="spellEnd"/>
            <w:r w:rsidRPr="00B17C7B">
              <w:rPr>
                <w:b/>
                <w:sz w:val="20"/>
                <w:szCs w:val="20"/>
              </w:rPr>
              <w:t>.</w:t>
            </w:r>
          </w:p>
        </w:tc>
        <w:tc>
          <w:tcPr>
            <w:tcW w:w="6238" w:type="dxa"/>
          </w:tcPr>
          <w:p w:rsidR="00FB2EFA" w:rsidRPr="00B17C7B" w:rsidRDefault="00FB2EFA" w:rsidP="007C4FC6">
            <w:pPr>
              <w:pStyle w:val="GvdeMetni"/>
              <w:rPr>
                <w:b/>
                <w:sz w:val="20"/>
                <w:szCs w:val="20"/>
              </w:rPr>
            </w:pPr>
            <w:r w:rsidRPr="00B17C7B">
              <w:rPr>
                <w:b/>
                <w:sz w:val="20"/>
                <w:szCs w:val="20"/>
              </w:rPr>
              <w:t>Faaliyet</w:t>
            </w:r>
          </w:p>
        </w:tc>
        <w:tc>
          <w:tcPr>
            <w:tcW w:w="1769" w:type="dxa"/>
          </w:tcPr>
          <w:p w:rsidR="00FB2EFA" w:rsidRPr="00B17C7B" w:rsidRDefault="00FB2EFA" w:rsidP="00944116">
            <w:pPr>
              <w:pStyle w:val="GvdeMetni"/>
              <w:jc w:val="center"/>
              <w:rPr>
                <w:b/>
                <w:sz w:val="20"/>
                <w:szCs w:val="20"/>
              </w:rPr>
            </w:pPr>
            <w:r w:rsidRPr="00B17C7B">
              <w:rPr>
                <w:b/>
                <w:sz w:val="20"/>
                <w:szCs w:val="20"/>
              </w:rPr>
              <w:t>Tarih</w:t>
            </w:r>
          </w:p>
        </w:tc>
      </w:tr>
      <w:tr w:rsidR="00FB2EFA" w:rsidRPr="00B17C7B" w:rsidTr="00944116">
        <w:tc>
          <w:tcPr>
            <w:tcW w:w="777" w:type="dxa"/>
          </w:tcPr>
          <w:p w:rsidR="00FB2EFA" w:rsidRPr="00B17C7B" w:rsidRDefault="00FB2EFA" w:rsidP="007C4FC6">
            <w:pPr>
              <w:pStyle w:val="GvdeMetni"/>
              <w:jc w:val="center"/>
              <w:rPr>
                <w:sz w:val="20"/>
                <w:szCs w:val="20"/>
              </w:rPr>
            </w:pPr>
            <w:r w:rsidRPr="00B17C7B">
              <w:rPr>
                <w:sz w:val="20"/>
                <w:szCs w:val="20"/>
              </w:rPr>
              <w:t>1</w:t>
            </w:r>
          </w:p>
        </w:tc>
        <w:tc>
          <w:tcPr>
            <w:tcW w:w="6238" w:type="dxa"/>
          </w:tcPr>
          <w:p w:rsidR="00FB2EFA" w:rsidRPr="00B17C7B" w:rsidRDefault="000F0D39" w:rsidP="00F43B1E">
            <w:pPr>
              <w:pStyle w:val="GvdeMetni"/>
              <w:jc w:val="both"/>
              <w:rPr>
                <w:sz w:val="20"/>
                <w:szCs w:val="20"/>
              </w:rPr>
            </w:pPr>
            <w:r w:rsidRPr="00B17C7B">
              <w:rPr>
                <w:sz w:val="20"/>
                <w:szCs w:val="20"/>
              </w:rPr>
              <w:t>Sistem üzerinden doçentlik temel alanları ile ilgili yapmış oldukları faaliyetlere uygun Akademik Teşvik Başvuru ve İnceleme Komisyonuna başvuru yapılması, akabinde Akademik Teşvik YÖKSİS Başvuru Formu ile Akademik Teşvik Başvuru Beyan Formunun ıslak imzalı olarak ilgili komisyona teslim edilmesi</w:t>
            </w:r>
          </w:p>
        </w:tc>
        <w:tc>
          <w:tcPr>
            <w:tcW w:w="1769" w:type="dxa"/>
            <w:shd w:val="clear" w:color="auto" w:fill="auto"/>
          </w:tcPr>
          <w:p w:rsidR="00FB2EFA" w:rsidRPr="00B17C7B" w:rsidRDefault="00907E89" w:rsidP="000361D5">
            <w:pPr>
              <w:pStyle w:val="GvdeMetni"/>
              <w:jc w:val="center"/>
              <w:rPr>
                <w:sz w:val="20"/>
                <w:szCs w:val="20"/>
                <w:highlight w:val="yellow"/>
              </w:rPr>
            </w:pPr>
            <w:r w:rsidRPr="00B17C7B">
              <w:rPr>
                <w:sz w:val="20"/>
                <w:szCs w:val="20"/>
              </w:rPr>
              <w:t>0</w:t>
            </w:r>
            <w:r w:rsidR="00BC6625" w:rsidRPr="00B17C7B">
              <w:rPr>
                <w:sz w:val="20"/>
                <w:szCs w:val="20"/>
              </w:rPr>
              <w:t>1</w:t>
            </w:r>
            <w:r w:rsidRPr="00B17C7B">
              <w:rPr>
                <w:sz w:val="20"/>
                <w:szCs w:val="20"/>
              </w:rPr>
              <w:t>-</w:t>
            </w:r>
            <w:r w:rsidR="00F14595" w:rsidRPr="00B17C7B">
              <w:rPr>
                <w:sz w:val="20"/>
                <w:szCs w:val="20"/>
              </w:rPr>
              <w:t>1</w:t>
            </w:r>
            <w:r w:rsidR="00E871A4" w:rsidRPr="00B17C7B">
              <w:rPr>
                <w:sz w:val="20"/>
                <w:szCs w:val="20"/>
              </w:rPr>
              <w:t>1</w:t>
            </w:r>
            <w:r w:rsidR="00FB2EFA" w:rsidRPr="00B17C7B">
              <w:rPr>
                <w:sz w:val="20"/>
                <w:szCs w:val="20"/>
              </w:rPr>
              <w:t xml:space="preserve"> Ocak </w:t>
            </w:r>
            <w:r w:rsidRPr="00B17C7B">
              <w:rPr>
                <w:sz w:val="20"/>
                <w:szCs w:val="20"/>
              </w:rPr>
              <w:t>202</w:t>
            </w:r>
            <w:r w:rsidR="000361D5" w:rsidRPr="00B17C7B">
              <w:rPr>
                <w:sz w:val="20"/>
                <w:szCs w:val="20"/>
              </w:rPr>
              <w:t>6</w:t>
            </w:r>
          </w:p>
        </w:tc>
      </w:tr>
      <w:tr w:rsidR="00FB2EFA" w:rsidRPr="00B17C7B" w:rsidTr="00944116">
        <w:tc>
          <w:tcPr>
            <w:tcW w:w="777" w:type="dxa"/>
          </w:tcPr>
          <w:p w:rsidR="00FB2EFA" w:rsidRPr="00B17C7B" w:rsidRDefault="00FB2EFA" w:rsidP="007C4FC6">
            <w:pPr>
              <w:pStyle w:val="GvdeMetni"/>
              <w:jc w:val="center"/>
              <w:rPr>
                <w:sz w:val="20"/>
                <w:szCs w:val="20"/>
              </w:rPr>
            </w:pPr>
            <w:r w:rsidRPr="00B17C7B">
              <w:rPr>
                <w:sz w:val="20"/>
                <w:szCs w:val="20"/>
              </w:rPr>
              <w:t>2</w:t>
            </w:r>
          </w:p>
        </w:tc>
        <w:tc>
          <w:tcPr>
            <w:tcW w:w="6238" w:type="dxa"/>
          </w:tcPr>
          <w:p w:rsidR="00FB2EFA" w:rsidRPr="00B17C7B" w:rsidRDefault="00FB2EFA" w:rsidP="001542A3">
            <w:pPr>
              <w:pStyle w:val="GvdeMetni"/>
              <w:jc w:val="both"/>
              <w:rPr>
                <w:sz w:val="20"/>
                <w:szCs w:val="20"/>
              </w:rPr>
            </w:pPr>
            <w:r w:rsidRPr="00B17C7B">
              <w:rPr>
                <w:sz w:val="20"/>
                <w:szCs w:val="20"/>
              </w:rPr>
              <w:t>Birim Akademik Teşvik Başvuru ve İnceleme Komisyonları tarafından başvuruların değerlendirilmesi</w:t>
            </w:r>
            <w:r w:rsidR="00F14595" w:rsidRPr="00B17C7B">
              <w:rPr>
                <w:sz w:val="20"/>
                <w:szCs w:val="20"/>
              </w:rPr>
              <w:t>, eksik belgelerin tamamlanması</w:t>
            </w:r>
            <w:r w:rsidRPr="00B17C7B">
              <w:rPr>
                <w:sz w:val="20"/>
                <w:szCs w:val="20"/>
              </w:rPr>
              <w:t xml:space="preserve"> ve değerlendirme kararlarının </w:t>
            </w:r>
            <w:r w:rsidR="00AE6374" w:rsidRPr="00B17C7B">
              <w:rPr>
                <w:b/>
                <w:sz w:val="20"/>
                <w:szCs w:val="20"/>
              </w:rPr>
              <w:t>sisteme yüklenmesi</w:t>
            </w:r>
            <w:r w:rsidR="00AE6374" w:rsidRPr="00B17C7B">
              <w:rPr>
                <w:sz w:val="20"/>
                <w:szCs w:val="20"/>
              </w:rPr>
              <w:t xml:space="preserve"> ve </w:t>
            </w:r>
            <w:r w:rsidR="001542A3" w:rsidRPr="00B17C7B">
              <w:rPr>
                <w:sz w:val="20"/>
                <w:szCs w:val="20"/>
              </w:rPr>
              <w:t>Fakülte/</w:t>
            </w:r>
            <w:r w:rsidRPr="00B17C7B">
              <w:rPr>
                <w:sz w:val="20"/>
                <w:szCs w:val="20"/>
              </w:rPr>
              <w:t>Meslek</w:t>
            </w:r>
            <w:r w:rsidR="001542A3" w:rsidRPr="00B17C7B">
              <w:rPr>
                <w:sz w:val="20"/>
                <w:szCs w:val="20"/>
              </w:rPr>
              <w:t xml:space="preserve"> Yüksek Okulu/Yüksekokul</w:t>
            </w:r>
            <w:r w:rsidR="002E715D" w:rsidRPr="00B17C7B">
              <w:rPr>
                <w:sz w:val="20"/>
                <w:szCs w:val="20"/>
              </w:rPr>
              <w:t>u</w:t>
            </w:r>
            <w:r w:rsidRPr="00B17C7B">
              <w:rPr>
                <w:spacing w:val="-31"/>
                <w:sz w:val="20"/>
                <w:szCs w:val="20"/>
              </w:rPr>
              <w:t xml:space="preserve"> </w:t>
            </w:r>
            <w:r w:rsidRPr="00B17C7B">
              <w:rPr>
                <w:sz w:val="20"/>
                <w:szCs w:val="20"/>
              </w:rPr>
              <w:t xml:space="preserve">tarafından Akademik Teşvik Düzenleme, Denetleme ve İtiraz Komisyonuna </w:t>
            </w:r>
            <w:r w:rsidR="00AE6374" w:rsidRPr="00B17C7B">
              <w:rPr>
                <w:b/>
                <w:sz w:val="20"/>
                <w:szCs w:val="20"/>
              </w:rPr>
              <w:t xml:space="preserve">EBYS </w:t>
            </w:r>
            <w:r w:rsidR="00AE6374" w:rsidRPr="00B17C7B">
              <w:rPr>
                <w:sz w:val="20"/>
                <w:szCs w:val="20"/>
              </w:rPr>
              <w:t xml:space="preserve">üzerinden </w:t>
            </w:r>
            <w:r w:rsidRPr="00B17C7B">
              <w:rPr>
                <w:sz w:val="20"/>
                <w:szCs w:val="20"/>
              </w:rPr>
              <w:t>gönderilmesi</w:t>
            </w:r>
          </w:p>
        </w:tc>
        <w:tc>
          <w:tcPr>
            <w:tcW w:w="1769" w:type="dxa"/>
          </w:tcPr>
          <w:p w:rsidR="00FB2EFA" w:rsidRPr="00B17C7B" w:rsidRDefault="00F14595" w:rsidP="00E871A4">
            <w:pPr>
              <w:pStyle w:val="GvdeMetni"/>
              <w:jc w:val="center"/>
              <w:rPr>
                <w:sz w:val="20"/>
                <w:szCs w:val="20"/>
                <w:highlight w:val="yellow"/>
              </w:rPr>
            </w:pPr>
            <w:r w:rsidRPr="00B17C7B">
              <w:rPr>
                <w:sz w:val="20"/>
                <w:szCs w:val="20"/>
              </w:rPr>
              <w:t>1</w:t>
            </w:r>
            <w:r w:rsidR="00E871A4" w:rsidRPr="00B17C7B">
              <w:rPr>
                <w:sz w:val="20"/>
                <w:szCs w:val="20"/>
              </w:rPr>
              <w:t>2</w:t>
            </w:r>
            <w:r w:rsidRPr="00B17C7B">
              <w:rPr>
                <w:sz w:val="20"/>
                <w:szCs w:val="20"/>
              </w:rPr>
              <w:t>-1</w:t>
            </w:r>
            <w:r w:rsidR="00E871A4" w:rsidRPr="00B17C7B">
              <w:rPr>
                <w:sz w:val="20"/>
                <w:szCs w:val="20"/>
              </w:rPr>
              <w:t>4</w:t>
            </w:r>
            <w:r w:rsidR="005923DD" w:rsidRPr="00B17C7B">
              <w:rPr>
                <w:sz w:val="20"/>
                <w:szCs w:val="20"/>
              </w:rPr>
              <w:t xml:space="preserve"> Ocak </w:t>
            </w:r>
            <w:r w:rsidR="000361D5" w:rsidRPr="00B17C7B">
              <w:rPr>
                <w:sz w:val="20"/>
                <w:szCs w:val="20"/>
              </w:rPr>
              <w:t>2026</w:t>
            </w:r>
          </w:p>
        </w:tc>
      </w:tr>
      <w:tr w:rsidR="00FB2EFA" w:rsidRPr="00B17C7B" w:rsidTr="00944116">
        <w:tc>
          <w:tcPr>
            <w:tcW w:w="777" w:type="dxa"/>
          </w:tcPr>
          <w:p w:rsidR="00FB2EFA" w:rsidRPr="00B17C7B" w:rsidRDefault="00FB2EFA" w:rsidP="007C4FC6">
            <w:pPr>
              <w:pStyle w:val="GvdeMetni"/>
              <w:jc w:val="center"/>
              <w:rPr>
                <w:sz w:val="20"/>
                <w:szCs w:val="20"/>
              </w:rPr>
            </w:pPr>
            <w:r w:rsidRPr="00B17C7B">
              <w:rPr>
                <w:sz w:val="20"/>
                <w:szCs w:val="20"/>
              </w:rPr>
              <w:t>3</w:t>
            </w:r>
          </w:p>
        </w:tc>
        <w:tc>
          <w:tcPr>
            <w:tcW w:w="6238" w:type="dxa"/>
          </w:tcPr>
          <w:p w:rsidR="00FB2EFA" w:rsidRPr="00B17C7B" w:rsidRDefault="00FB2EFA" w:rsidP="007C4FC6">
            <w:pPr>
              <w:pStyle w:val="GvdeMetni"/>
              <w:jc w:val="both"/>
              <w:rPr>
                <w:sz w:val="20"/>
                <w:szCs w:val="20"/>
              </w:rPr>
            </w:pPr>
            <w:r w:rsidRPr="00B17C7B">
              <w:rPr>
                <w:sz w:val="20"/>
                <w:szCs w:val="20"/>
              </w:rPr>
              <w:t>Akademik Teşvik Düzenleme, Denetleme ve İtiraz Komisyonu tarafından başvuruların değerlendirilmesi ve sonuçların Üniversitemiz web sitesinden ilan edilmesi</w:t>
            </w:r>
          </w:p>
        </w:tc>
        <w:tc>
          <w:tcPr>
            <w:tcW w:w="1769" w:type="dxa"/>
          </w:tcPr>
          <w:p w:rsidR="00FB2EFA" w:rsidRPr="00B17C7B" w:rsidRDefault="00907E89" w:rsidP="00E871A4">
            <w:pPr>
              <w:pStyle w:val="GvdeMetni"/>
              <w:jc w:val="center"/>
              <w:rPr>
                <w:sz w:val="20"/>
                <w:szCs w:val="20"/>
              </w:rPr>
            </w:pPr>
            <w:r w:rsidRPr="00B17C7B">
              <w:rPr>
                <w:sz w:val="20"/>
                <w:szCs w:val="20"/>
              </w:rPr>
              <w:t>1</w:t>
            </w:r>
            <w:r w:rsidR="00E871A4" w:rsidRPr="00B17C7B">
              <w:rPr>
                <w:sz w:val="20"/>
                <w:szCs w:val="20"/>
              </w:rPr>
              <w:t>5</w:t>
            </w:r>
            <w:r w:rsidRPr="00B17C7B">
              <w:rPr>
                <w:sz w:val="20"/>
                <w:szCs w:val="20"/>
              </w:rPr>
              <w:t>-</w:t>
            </w:r>
            <w:r w:rsidR="00E871A4" w:rsidRPr="00B17C7B">
              <w:rPr>
                <w:sz w:val="20"/>
                <w:szCs w:val="20"/>
              </w:rPr>
              <w:t>20</w:t>
            </w:r>
            <w:r w:rsidR="005923DD" w:rsidRPr="00B17C7B">
              <w:rPr>
                <w:sz w:val="20"/>
                <w:szCs w:val="20"/>
              </w:rPr>
              <w:t xml:space="preserve"> Ocak </w:t>
            </w:r>
            <w:r w:rsidR="000361D5" w:rsidRPr="00B17C7B">
              <w:rPr>
                <w:sz w:val="20"/>
                <w:szCs w:val="20"/>
              </w:rPr>
              <w:t>2026</w:t>
            </w:r>
          </w:p>
        </w:tc>
      </w:tr>
      <w:tr w:rsidR="00FB2EFA" w:rsidRPr="00B17C7B" w:rsidTr="00944116">
        <w:tc>
          <w:tcPr>
            <w:tcW w:w="777" w:type="dxa"/>
          </w:tcPr>
          <w:p w:rsidR="00FB2EFA" w:rsidRPr="00B17C7B" w:rsidRDefault="00FB2EFA" w:rsidP="007C4FC6">
            <w:pPr>
              <w:pStyle w:val="GvdeMetni"/>
              <w:jc w:val="center"/>
              <w:rPr>
                <w:sz w:val="20"/>
                <w:szCs w:val="20"/>
              </w:rPr>
            </w:pPr>
            <w:r w:rsidRPr="00B17C7B">
              <w:rPr>
                <w:sz w:val="20"/>
                <w:szCs w:val="20"/>
              </w:rPr>
              <w:t>4</w:t>
            </w:r>
          </w:p>
        </w:tc>
        <w:tc>
          <w:tcPr>
            <w:tcW w:w="6238" w:type="dxa"/>
          </w:tcPr>
          <w:p w:rsidR="00FB2EFA" w:rsidRPr="00B17C7B" w:rsidRDefault="005923DD" w:rsidP="007C4FC6">
            <w:pPr>
              <w:pStyle w:val="GvdeMetni"/>
              <w:jc w:val="both"/>
              <w:rPr>
                <w:sz w:val="20"/>
                <w:szCs w:val="20"/>
              </w:rPr>
            </w:pPr>
            <w:r w:rsidRPr="00B17C7B">
              <w:rPr>
                <w:sz w:val="20"/>
                <w:szCs w:val="20"/>
              </w:rPr>
              <w:t>Akademik Teşvik Düzenleme, Denetleme ve İtiraz Komisyonu kararlarına itiraz</w:t>
            </w:r>
          </w:p>
        </w:tc>
        <w:tc>
          <w:tcPr>
            <w:tcW w:w="1769" w:type="dxa"/>
          </w:tcPr>
          <w:p w:rsidR="00FB2EFA" w:rsidRPr="00B17C7B" w:rsidRDefault="00BC6625" w:rsidP="00E871A4">
            <w:pPr>
              <w:pStyle w:val="GvdeMetni"/>
              <w:jc w:val="center"/>
              <w:rPr>
                <w:sz w:val="20"/>
                <w:szCs w:val="20"/>
              </w:rPr>
            </w:pPr>
            <w:r w:rsidRPr="00B17C7B">
              <w:rPr>
                <w:sz w:val="20"/>
                <w:szCs w:val="20"/>
              </w:rPr>
              <w:t>2</w:t>
            </w:r>
            <w:r w:rsidR="00E871A4" w:rsidRPr="00B17C7B">
              <w:rPr>
                <w:sz w:val="20"/>
                <w:szCs w:val="20"/>
              </w:rPr>
              <w:t>1</w:t>
            </w:r>
            <w:r w:rsidR="00907E89" w:rsidRPr="00B17C7B">
              <w:rPr>
                <w:sz w:val="20"/>
                <w:szCs w:val="20"/>
              </w:rPr>
              <w:t>-2</w:t>
            </w:r>
            <w:r w:rsidR="00E871A4" w:rsidRPr="00B17C7B">
              <w:rPr>
                <w:sz w:val="20"/>
                <w:szCs w:val="20"/>
              </w:rPr>
              <w:t>6</w:t>
            </w:r>
            <w:r w:rsidR="005923DD" w:rsidRPr="00B17C7B">
              <w:rPr>
                <w:sz w:val="20"/>
                <w:szCs w:val="20"/>
              </w:rPr>
              <w:t xml:space="preserve"> Ocak </w:t>
            </w:r>
            <w:r w:rsidR="000361D5" w:rsidRPr="00B17C7B">
              <w:rPr>
                <w:sz w:val="20"/>
                <w:szCs w:val="20"/>
              </w:rPr>
              <w:t>2026</w:t>
            </w:r>
          </w:p>
        </w:tc>
      </w:tr>
      <w:tr w:rsidR="005923DD" w:rsidRPr="00B17C7B" w:rsidTr="00944116">
        <w:tc>
          <w:tcPr>
            <w:tcW w:w="777" w:type="dxa"/>
          </w:tcPr>
          <w:p w:rsidR="005923DD" w:rsidRPr="00B17C7B" w:rsidRDefault="005923DD" w:rsidP="007C4FC6">
            <w:pPr>
              <w:pStyle w:val="GvdeMetni"/>
              <w:jc w:val="center"/>
              <w:rPr>
                <w:sz w:val="20"/>
                <w:szCs w:val="20"/>
              </w:rPr>
            </w:pPr>
            <w:r w:rsidRPr="00B17C7B">
              <w:rPr>
                <w:sz w:val="20"/>
                <w:szCs w:val="20"/>
              </w:rPr>
              <w:t>5</w:t>
            </w:r>
          </w:p>
        </w:tc>
        <w:tc>
          <w:tcPr>
            <w:tcW w:w="6238" w:type="dxa"/>
          </w:tcPr>
          <w:p w:rsidR="005923DD" w:rsidRPr="00B17C7B" w:rsidRDefault="005923DD" w:rsidP="006A5E5E">
            <w:pPr>
              <w:pStyle w:val="GvdeMetni"/>
              <w:jc w:val="both"/>
              <w:rPr>
                <w:sz w:val="20"/>
                <w:szCs w:val="20"/>
              </w:rPr>
            </w:pPr>
            <w:r w:rsidRPr="00B17C7B">
              <w:rPr>
                <w:sz w:val="20"/>
                <w:szCs w:val="20"/>
              </w:rPr>
              <w:t xml:space="preserve">Akademik Teşvik Düzenleme, Denetleme ve İtiraz Komisyonunca ilgili itirazların sonuçlandırılması ve Kesin Listelerin </w:t>
            </w:r>
            <w:r w:rsidR="006A5E5E" w:rsidRPr="00B17C7B">
              <w:rPr>
                <w:sz w:val="20"/>
                <w:szCs w:val="20"/>
              </w:rPr>
              <w:t>elektronik ortamda duyurulması</w:t>
            </w:r>
          </w:p>
        </w:tc>
        <w:tc>
          <w:tcPr>
            <w:tcW w:w="1769" w:type="dxa"/>
          </w:tcPr>
          <w:p w:rsidR="005923DD" w:rsidRPr="00B17C7B" w:rsidRDefault="00907E89" w:rsidP="00BC6625">
            <w:pPr>
              <w:pStyle w:val="GvdeMetni"/>
              <w:jc w:val="center"/>
              <w:rPr>
                <w:sz w:val="20"/>
                <w:szCs w:val="20"/>
              </w:rPr>
            </w:pPr>
            <w:r w:rsidRPr="00B17C7B">
              <w:rPr>
                <w:sz w:val="20"/>
                <w:szCs w:val="20"/>
              </w:rPr>
              <w:t>2</w:t>
            </w:r>
            <w:r w:rsidR="00BC6625" w:rsidRPr="00B17C7B">
              <w:rPr>
                <w:sz w:val="20"/>
                <w:szCs w:val="20"/>
              </w:rPr>
              <w:t>7</w:t>
            </w:r>
            <w:r w:rsidR="00076DA0" w:rsidRPr="00B17C7B">
              <w:rPr>
                <w:sz w:val="20"/>
                <w:szCs w:val="20"/>
              </w:rPr>
              <w:t>-</w:t>
            </w:r>
            <w:r w:rsidRPr="00B17C7B">
              <w:rPr>
                <w:sz w:val="20"/>
                <w:szCs w:val="20"/>
              </w:rPr>
              <w:t>2</w:t>
            </w:r>
            <w:r w:rsidR="00BC6625" w:rsidRPr="00B17C7B">
              <w:rPr>
                <w:sz w:val="20"/>
                <w:szCs w:val="20"/>
              </w:rPr>
              <w:t>8</w:t>
            </w:r>
            <w:r w:rsidR="005923DD" w:rsidRPr="00B17C7B">
              <w:rPr>
                <w:sz w:val="20"/>
                <w:szCs w:val="20"/>
              </w:rPr>
              <w:t xml:space="preserve"> Ocak </w:t>
            </w:r>
            <w:r w:rsidR="000361D5" w:rsidRPr="00B17C7B">
              <w:rPr>
                <w:sz w:val="20"/>
                <w:szCs w:val="20"/>
              </w:rPr>
              <w:t>2026</w:t>
            </w:r>
          </w:p>
        </w:tc>
      </w:tr>
    </w:tbl>
    <w:p w:rsidR="00B45AA4" w:rsidRDefault="00B45AA4" w:rsidP="00B45AA4"/>
    <w:p w:rsidR="00936810" w:rsidRPr="00B17C7B" w:rsidRDefault="00AF10DE" w:rsidP="007C4FC6">
      <w:pPr>
        <w:rPr>
          <w:sz w:val="20"/>
        </w:rPr>
      </w:pPr>
      <w:r w:rsidRPr="00B17C7B">
        <w:rPr>
          <w:b/>
          <w:sz w:val="20"/>
          <w:u w:val="single"/>
        </w:rPr>
        <w:t>ÖNEMLİ NOTLAR</w:t>
      </w:r>
      <w:r w:rsidRPr="00B17C7B">
        <w:rPr>
          <w:sz w:val="20"/>
        </w:rPr>
        <w:t>:</w:t>
      </w:r>
    </w:p>
    <w:p w:rsidR="00AF10DE" w:rsidRPr="00B17C7B" w:rsidRDefault="00AF10DE" w:rsidP="00517D0E">
      <w:pPr>
        <w:jc w:val="both"/>
        <w:rPr>
          <w:sz w:val="20"/>
        </w:rPr>
      </w:pPr>
    </w:p>
    <w:p w:rsidR="00E871A4" w:rsidRPr="00B17C7B" w:rsidRDefault="00AF10DE" w:rsidP="00517D0E">
      <w:pPr>
        <w:jc w:val="both"/>
        <w:rPr>
          <w:color w:val="000000" w:themeColor="text1"/>
          <w:sz w:val="20"/>
        </w:rPr>
      </w:pPr>
      <w:r w:rsidRPr="00B17C7B">
        <w:rPr>
          <w:sz w:val="20"/>
        </w:rPr>
        <w:t xml:space="preserve">1. </w:t>
      </w:r>
      <w:r w:rsidR="00E871A4" w:rsidRPr="00B17C7B">
        <w:rPr>
          <w:color w:val="000000" w:themeColor="text1"/>
          <w:sz w:val="20"/>
        </w:rPr>
        <w:t>Akademik Teşvik Ödeneği Teşkilat Yönetmeliği</w:t>
      </w:r>
      <w:r w:rsidR="00F418D3" w:rsidRPr="00B17C7B">
        <w:rPr>
          <w:color w:val="000000" w:themeColor="text1"/>
          <w:sz w:val="20"/>
        </w:rPr>
        <w:t>nin</w:t>
      </w:r>
      <w:r w:rsidR="00E871A4" w:rsidRPr="00B17C7B">
        <w:rPr>
          <w:color w:val="000000" w:themeColor="text1"/>
          <w:sz w:val="20"/>
        </w:rPr>
        <w:t xml:space="preserve"> </w:t>
      </w:r>
      <w:r w:rsidR="00F418D3" w:rsidRPr="00B17C7B">
        <w:rPr>
          <w:color w:val="000000" w:themeColor="text1"/>
          <w:sz w:val="20"/>
        </w:rPr>
        <w:t>7. Maddesi gereği YÖKSİS Akademik Teşvik Sistemi’nden başvuru yap</w:t>
      </w:r>
      <w:r w:rsidR="00FC1331" w:rsidRPr="00B17C7B">
        <w:rPr>
          <w:color w:val="000000" w:themeColor="text1"/>
          <w:sz w:val="20"/>
        </w:rPr>
        <w:t xml:space="preserve">ılan </w:t>
      </w:r>
      <w:r w:rsidR="00F418D3" w:rsidRPr="00B17C7B">
        <w:rPr>
          <w:color w:val="000000" w:themeColor="text1"/>
          <w:sz w:val="20"/>
        </w:rPr>
        <w:t xml:space="preserve">doçentlik alanı ile ilgili yayınların puanlamaya </w:t>
      </w:r>
      <w:proofErr w:type="gramStart"/>
      <w:r w:rsidR="00F418D3" w:rsidRPr="00B17C7B">
        <w:rPr>
          <w:color w:val="000000" w:themeColor="text1"/>
          <w:sz w:val="20"/>
        </w:rPr>
        <w:t>dahil</w:t>
      </w:r>
      <w:proofErr w:type="gramEnd"/>
      <w:r w:rsidR="00F418D3" w:rsidRPr="00B17C7B">
        <w:rPr>
          <w:color w:val="000000" w:themeColor="text1"/>
          <w:sz w:val="20"/>
        </w:rPr>
        <w:t xml:space="preserve"> edilmesi</w:t>
      </w:r>
      <w:r w:rsidR="000361D5" w:rsidRPr="00B17C7B">
        <w:rPr>
          <w:color w:val="000000" w:themeColor="text1"/>
          <w:sz w:val="20"/>
        </w:rPr>
        <w:t xml:space="preserve"> ve adayların doçentlik alanları ile ilgili komisyonlara başvuru yapması</w:t>
      </w:r>
      <w:r w:rsidR="00F418D3" w:rsidRPr="00B17C7B">
        <w:rPr>
          <w:color w:val="000000" w:themeColor="text1"/>
          <w:sz w:val="20"/>
        </w:rPr>
        <w:t xml:space="preserve"> gerekmektedir.</w:t>
      </w:r>
    </w:p>
    <w:p w:rsidR="000361D5" w:rsidRPr="00B17C7B" w:rsidRDefault="000361D5" w:rsidP="00517D0E">
      <w:pPr>
        <w:jc w:val="both"/>
        <w:rPr>
          <w:sz w:val="20"/>
        </w:rPr>
      </w:pPr>
    </w:p>
    <w:p w:rsidR="00AF10DE" w:rsidRPr="00B17C7B" w:rsidRDefault="000361D5" w:rsidP="00517D0E">
      <w:pPr>
        <w:jc w:val="both"/>
        <w:rPr>
          <w:sz w:val="20"/>
        </w:rPr>
      </w:pPr>
      <w:r w:rsidRPr="00B17C7B">
        <w:rPr>
          <w:sz w:val="20"/>
        </w:rPr>
        <w:t xml:space="preserve">2. </w:t>
      </w:r>
      <w:proofErr w:type="spellStart"/>
      <w:r w:rsidR="00AF10DE" w:rsidRPr="00B17C7B">
        <w:rPr>
          <w:sz w:val="20"/>
        </w:rPr>
        <w:t>YÖKSİS’ten</w:t>
      </w:r>
      <w:proofErr w:type="spellEnd"/>
      <w:r w:rsidR="00AF10DE" w:rsidRPr="00B17C7B">
        <w:rPr>
          <w:sz w:val="20"/>
        </w:rPr>
        <w:t xml:space="preserve"> alınan başvuru formunun</w:t>
      </w:r>
      <w:r w:rsidR="00914C4A" w:rsidRPr="00B17C7B">
        <w:rPr>
          <w:sz w:val="20"/>
        </w:rPr>
        <w:t xml:space="preserve"> akademik teşvik başvuru</w:t>
      </w:r>
      <w:r w:rsidR="00AF10DE" w:rsidRPr="00B17C7B">
        <w:rPr>
          <w:sz w:val="20"/>
        </w:rPr>
        <w:t xml:space="preserve"> sistem</w:t>
      </w:r>
      <w:r w:rsidR="00914C4A" w:rsidRPr="00B17C7B">
        <w:rPr>
          <w:sz w:val="20"/>
        </w:rPr>
        <w:t>in</w:t>
      </w:r>
      <w:r w:rsidR="00AF10DE" w:rsidRPr="00B17C7B">
        <w:rPr>
          <w:sz w:val="20"/>
        </w:rPr>
        <w:t>e</w:t>
      </w:r>
      <w:r w:rsidR="00914C4A" w:rsidRPr="00B17C7B">
        <w:rPr>
          <w:sz w:val="20"/>
        </w:rPr>
        <w:t xml:space="preserve">; </w:t>
      </w:r>
      <w:r w:rsidR="00914C4A" w:rsidRPr="00B17C7B">
        <w:rPr>
          <w:b/>
          <w:sz w:val="20"/>
          <w:u w:val="single"/>
        </w:rPr>
        <w:t>Son sayfa imzalı ve diğer sayfalar paraflı</w:t>
      </w:r>
      <w:r w:rsidR="00914C4A" w:rsidRPr="00B17C7B">
        <w:rPr>
          <w:sz w:val="20"/>
        </w:rPr>
        <w:t xml:space="preserve"> olacak şekilde ve </w:t>
      </w:r>
      <w:proofErr w:type="spellStart"/>
      <w:r w:rsidR="00914C4A" w:rsidRPr="00B17C7B">
        <w:rPr>
          <w:sz w:val="20"/>
        </w:rPr>
        <w:t>YÖKSİS’in</w:t>
      </w:r>
      <w:proofErr w:type="spellEnd"/>
      <w:r w:rsidR="00914C4A" w:rsidRPr="00B17C7B">
        <w:rPr>
          <w:sz w:val="20"/>
        </w:rPr>
        <w:t xml:space="preserve"> oluşturduğu </w:t>
      </w:r>
      <w:r w:rsidR="00914C4A" w:rsidRPr="00B17C7B">
        <w:rPr>
          <w:b/>
          <w:sz w:val="20"/>
          <w:u w:val="single"/>
        </w:rPr>
        <w:t>PDF (imzasız ve parafsız) formatında</w:t>
      </w:r>
      <w:r w:rsidR="00914C4A" w:rsidRPr="00B17C7B">
        <w:rPr>
          <w:sz w:val="20"/>
        </w:rPr>
        <w:t xml:space="preserve"> olmak üzere iki farklı belge olarak yüklenmesi gerekmektedir. </w:t>
      </w:r>
    </w:p>
    <w:p w:rsidR="0044422F" w:rsidRPr="00B17C7B" w:rsidRDefault="0044422F" w:rsidP="00517D0E">
      <w:pPr>
        <w:jc w:val="both"/>
        <w:rPr>
          <w:sz w:val="20"/>
        </w:rPr>
      </w:pPr>
    </w:p>
    <w:p w:rsidR="0044422F" w:rsidRPr="00B17C7B" w:rsidRDefault="000361D5" w:rsidP="00517D0E">
      <w:pPr>
        <w:jc w:val="both"/>
        <w:rPr>
          <w:color w:val="000000" w:themeColor="text1"/>
          <w:sz w:val="20"/>
        </w:rPr>
      </w:pPr>
      <w:r w:rsidRPr="00B17C7B">
        <w:rPr>
          <w:sz w:val="20"/>
        </w:rPr>
        <w:t>3</w:t>
      </w:r>
      <w:r w:rsidR="0044422F" w:rsidRPr="00B17C7B">
        <w:rPr>
          <w:sz w:val="20"/>
        </w:rPr>
        <w:t xml:space="preserve">. </w:t>
      </w:r>
      <w:r w:rsidR="0044422F" w:rsidRPr="00B17C7B">
        <w:rPr>
          <w:color w:val="000000" w:themeColor="text1"/>
          <w:sz w:val="20"/>
        </w:rPr>
        <w:t>Akademik</w:t>
      </w:r>
      <w:r w:rsidR="0044422F" w:rsidRPr="00B17C7B">
        <w:rPr>
          <w:color w:val="000000" w:themeColor="text1"/>
          <w:spacing w:val="-5"/>
          <w:sz w:val="20"/>
        </w:rPr>
        <w:t xml:space="preserve"> </w:t>
      </w:r>
      <w:r w:rsidR="0044422F" w:rsidRPr="00B17C7B">
        <w:rPr>
          <w:color w:val="000000" w:themeColor="text1"/>
          <w:sz w:val="20"/>
        </w:rPr>
        <w:t>faaliyetlere ilişkin kanıt ve belgeleri</w:t>
      </w:r>
      <w:r w:rsidR="0044422F" w:rsidRPr="00B17C7B">
        <w:rPr>
          <w:color w:val="000000" w:themeColor="text1"/>
          <w:spacing w:val="-2"/>
          <w:sz w:val="20"/>
        </w:rPr>
        <w:t xml:space="preserve"> </w:t>
      </w:r>
      <w:r w:rsidR="0044422F" w:rsidRPr="00B17C7B">
        <w:rPr>
          <w:color w:val="000000" w:themeColor="text1"/>
          <w:sz w:val="20"/>
        </w:rPr>
        <w:t>içeren</w:t>
      </w:r>
      <w:r w:rsidR="0044422F" w:rsidRPr="00B17C7B">
        <w:rPr>
          <w:color w:val="000000" w:themeColor="text1"/>
          <w:spacing w:val="-5"/>
          <w:sz w:val="20"/>
        </w:rPr>
        <w:t xml:space="preserve"> </w:t>
      </w:r>
      <w:r w:rsidR="0044422F" w:rsidRPr="00B17C7B">
        <w:rPr>
          <w:color w:val="000000" w:themeColor="text1"/>
          <w:sz w:val="20"/>
        </w:rPr>
        <w:t>dosyaların</w:t>
      </w:r>
      <w:r w:rsidR="00517D0E" w:rsidRPr="00B17C7B">
        <w:rPr>
          <w:color w:val="000000" w:themeColor="text1"/>
          <w:sz w:val="20"/>
        </w:rPr>
        <w:t>,</w:t>
      </w:r>
      <w:r w:rsidR="0044422F" w:rsidRPr="00B17C7B">
        <w:rPr>
          <w:color w:val="000000" w:themeColor="text1"/>
          <w:sz w:val="20"/>
        </w:rPr>
        <w:t xml:space="preserve"> </w:t>
      </w:r>
      <w:r w:rsidR="0044422F" w:rsidRPr="00B17C7B">
        <w:rPr>
          <w:b/>
          <w:color w:val="000000" w:themeColor="text1"/>
          <w:sz w:val="20"/>
          <w:u w:val="single"/>
        </w:rPr>
        <w:t>YÖKSİS başvuru formunda yer alan eser</w:t>
      </w:r>
      <w:r w:rsidR="00E0029D" w:rsidRPr="00B17C7B">
        <w:rPr>
          <w:b/>
          <w:color w:val="000000" w:themeColor="text1"/>
          <w:sz w:val="20"/>
          <w:u w:val="single"/>
        </w:rPr>
        <w:t>lerin</w:t>
      </w:r>
      <w:r w:rsidR="0044422F" w:rsidRPr="00B17C7B">
        <w:rPr>
          <w:b/>
          <w:color w:val="000000" w:themeColor="text1"/>
          <w:sz w:val="20"/>
          <w:u w:val="single"/>
        </w:rPr>
        <w:t xml:space="preserve"> bilgi ve sıralamalarına göre dosya isimleri</w:t>
      </w:r>
      <w:r w:rsidR="00E0029D" w:rsidRPr="00B17C7B">
        <w:rPr>
          <w:b/>
          <w:color w:val="000000" w:themeColor="text1"/>
          <w:sz w:val="20"/>
          <w:u w:val="single"/>
        </w:rPr>
        <w:t xml:space="preserve">nin oluşturulması ve </w:t>
      </w:r>
      <w:r w:rsidR="00517D0E" w:rsidRPr="00B17C7B">
        <w:rPr>
          <w:b/>
          <w:color w:val="000000" w:themeColor="text1"/>
          <w:sz w:val="20"/>
          <w:u w:val="single"/>
        </w:rPr>
        <w:t xml:space="preserve">sisteme yüklenmesi </w:t>
      </w:r>
      <w:r w:rsidR="0044422F" w:rsidRPr="00B17C7B">
        <w:rPr>
          <w:color w:val="000000" w:themeColor="text1"/>
          <w:sz w:val="20"/>
        </w:rPr>
        <w:t>gerekmektedir. Aksi takdirde, akademik</w:t>
      </w:r>
      <w:r w:rsidR="0044422F" w:rsidRPr="00B17C7B">
        <w:rPr>
          <w:color w:val="000000" w:themeColor="text1"/>
          <w:spacing w:val="-5"/>
          <w:sz w:val="20"/>
        </w:rPr>
        <w:t xml:space="preserve"> </w:t>
      </w:r>
      <w:r w:rsidR="0044422F" w:rsidRPr="00B17C7B">
        <w:rPr>
          <w:color w:val="000000" w:themeColor="text1"/>
          <w:sz w:val="20"/>
        </w:rPr>
        <w:t>faaliyetlere ilişkin sunulan kanıt ve belgeleri içeren dosyalar değerlendirme dışında tutulacaktır.</w:t>
      </w:r>
    </w:p>
    <w:p w:rsidR="00944116" w:rsidRPr="00B17C7B" w:rsidRDefault="00944116" w:rsidP="00517D0E">
      <w:pPr>
        <w:jc w:val="both"/>
        <w:rPr>
          <w:color w:val="000000" w:themeColor="text1"/>
          <w:sz w:val="20"/>
        </w:rPr>
      </w:pPr>
    </w:p>
    <w:p w:rsidR="00AF47CC" w:rsidRDefault="000361D5" w:rsidP="00AF47CC">
      <w:pPr>
        <w:pStyle w:val="Default"/>
        <w:jc w:val="both"/>
        <w:rPr>
          <w:color w:val="000000" w:themeColor="text1"/>
          <w:sz w:val="20"/>
          <w:szCs w:val="22"/>
        </w:rPr>
      </w:pPr>
      <w:r w:rsidRPr="00B17C7B">
        <w:rPr>
          <w:color w:val="000000" w:themeColor="text1"/>
          <w:sz w:val="20"/>
          <w:szCs w:val="22"/>
        </w:rPr>
        <w:t>4</w:t>
      </w:r>
      <w:r w:rsidR="00C75BD9" w:rsidRPr="00B17C7B">
        <w:rPr>
          <w:color w:val="000000" w:themeColor="text1"/>
          <w:sz w:val="20"/>
          <w:szCs w:val="22"/>
        </w:rPr>
        <w:t xml:space="preserve">. </w:t>
      </w:r>
      <w:r w:rsidR="00AF47CC" w:rsidRPr="00AF47CC">
        <w:rPr>
          <w:color w:val="000000" w:themeColor="text1"/>
          <w:sz w:val="20"/>
          <w:szCs w:val="22"/>
        </w:rPr>
        <w:t xml:space="preserve">Akademik Teşvik Yönetmeliği’nde Alan İndeksleri, </w:t>
      </w:r>
      <w:r w:rsidR="00AF47CC" w:rsidRPr="00AF47CC">
        <w:rPr>
          <w:b/>
          <w:color w:val="000000" w:themeColor="text1"/>
          <w:sz w:val="20"/>
          <w:szCs w:val="22"/>
          <w:u w:val="single"/>
        </w:rPr>
        <w:t>“Üniversitelerarası Kurul Başkanlığı tarafından hazırlanıp Yükseköğretim Kurulunca onaylanan doçentlik başvurusu için kabul edilen endeksleri”</w:t>
      </w:r>
      <w:r w:rsidR="00AF47CC" w:rsidRPr="00AF47CC">
        <w:rPr>
          <w:color w:val="000000" w:themeColor="text1"/>
          <w:sz w:val="20"/>
          <w:szCs w:val="22"/>
        </w:rPr>
        <w:t xml:space="preserve"> olarak tanımlanmaktadır. Yükseköğretim Kurulu’nun 15.06.2023 tarihli ve 10 sayılı oturumunda alınan 2023.10.183 sayılı kararı ile Üniversitelerarası Kurul’un 09.08.2023 tarihli duyurusu doğrultusunda, alan indeksleri uygulaması kaldırılmış; doçentlik başvurularında kabul edilen indeksler </w:t>
      </w:r>
      <w:r w:rsidR="00AF47CC" w:rsidRPr="00AF47CC">
        <w:rPr>
          <w:b/>
          <w:color w:val="000000" w:themeColor="text1"/>
          <w:sz w:val="20"/>
          <w:szCs w:val="22"/>
          <w:u w:val="single"/>
        </w:rPr>
        <w:t>ESCI</w:t>
      </w:r>
      <w:r w:rsidR="00AF47CC" w:rsidRPr="00AF47CC">
        <w:rPr>
          <w:color w:val="000000" w:themeColor="text1"/>
          <w:sz w:val="20"/>
          <w:szCs w:val="22"/>
        </w:rPr>
        <w:t xml:space="preserve"> v</w:t>
      </w:r>
      <w:r w:rsidR="00AF47CC">
        <w:rPr>
          <w:color w:val="000000" w:themeColor="text1"/>
          <w:sz w:val="20"/>
          <w:szCs w:val="22"/>
        </w:rPr>
        <w:t xml:space="preserve">e </w:t>
      </w:r>
      <w:proofErr w:type="spellStart"/>
      <w:r w:rsidR="00AF47CC" w:rsidRPr="00AF47CC">
        <w:rPr>
          <w:b/>
          <w:color w:val="000000" w:themeColor="text1"/>
          <w:sz w:val="20"/>
          <w:szCs w:val="22"/>
          <w:u w:val="single"/>
        </w:rPr>
        <w:t>Scopus</w:t>
      </w:r>
      <w:proofErr w:type="spellEnd"/>
      <w:r w:rsidR="00AF47CC">
        <w:rPr>
          <w:color w:val="000000" w:themeColor="text1"/>
          <w:sz w:val="20"/>
          <w:szCs w:val="22"/>
        </w:rPr>
        <w:t xml:space="preserve"> olarak belirlenmiştir. </w:t>
      </w:r>
      <w:r w:rsidR="00AF47CC" w:rsidRPr="00AF47CC">
        <w:rPr>
          <w:color w:val="000000" w:themeColor="text1"/>
          <w:sz w:val="20"/>
          <w:szCs w:val="22"/>
        </w:rPr>
        <w:t xml:space="preserve">Bu çerçevede, Akademik Teşvik Yönetmeliği kapsamında alan indeksi olarak yalnızca </w:t>
      </w:r>
      <w:r w:rsidR="00AF47CC" w:rsidRPr="00AF47CC">
        <w:rPr>
          <w:b/>
          <w:color w:val="000000" w:themeColor="text1"/>
          <w:sz w:val="20"/>
          <w:szCs w:val="22"/>
          <w:u w:val="single"/>
        </w:rPr>
        <w:t>ESCI</w:t>
      </w:r>
      <w:r w:rsidR="00AF47CC" w:rsidRPr="00AF47CC">
        <w:rPr>
          <w:color w:val="000000" w:themeColor="text1"/>
          <w:sz w:val="20"/>
          <w:szCs w:val="22"/>
        </w:rPr>
        <w:t xml:space="preserve"> ve </w:t>
      </w:r>
      <w:proofErr w:type="spellStart"/>
      <w:r w:rsidR="00AF47CC" w:rsidRPr="00AF47CC">
        <w:rPr>
          <w:b/>
          <w:color w:val="000000" w:themeColor="text1"/>
          <w:sz w:val="20"/>
          <w:szCs w:val="22"/>
        </w:rPr>
        <w:t>Scopus</w:t>
      </w:r>
      <w:proofErr w:type="spellEnd"/>
      <w:r w:rsidR="00AF47CC" w:rsidRPr="00AF47CC">
        <w:rPr>
          <w:color w:val="000000" w:themeColor="text1"/>
          <w:sz w:val="20"/>
          <w:szCs w:val="22"/>
        </w:rPr>
        <w:t xml:space="preserve"> indekslerinde yer alan yayınlar kabul edilebilecektir. ÜAK tarafından alan indeksi olarak kabul edilmeyen diğer indekslerde yer alan faaliyetler ise </w:t>
      </w:r>
      <w:r w:rsidR="00AF47CC" w:rsidRPr="00AF47CC">
        <w:rPr>
          <w:b/>
          <w:color w:val="000000" w:themeColor="text1"/>
          <w:sz w:val="20"/>
          <w:szCs w:val="22"/>
          <w:u w:val="single"/>
        </w:rPr>
        <w:t>“Diğer İndeksler”</w:t>
      </w:r>
      <w:r w:rsidR="00AF47CC" w:rsidRPr="00AF47CC">
        <w:rPr>
          <w:color w:val="000000" w:themeColor="text1"/>
          <w:sz w:val="20"/>
          <w:szCs w:val="22"/>
        </w:rPr>
        <w:t xml:space="preserve"> kategorisi altında değerlendirilmelidir.</w:t>
      </w:r>
      <w:bookmarkStart w:id="0" w:name="_GoBack"/>
      <w:bookmarkEnd w:id="0"/>
    </w:p>
    <w:sectPr w:rsidR="00AF47CC" w:rsidSect="00FB2EFA">
      <w:headerReference w:type="default" r:id="rId8"/>
      <w:type w:val="continuous"/>
      <w:pgSz w:w="11910" w:h="16840"/>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CC9" w:rsidRDefault="006D2CC9" w:rsidP="00944116">
      <w:r>
        <w:separator/>
      </w:r>
    </w:p>
  </w:endnote>
  <w:endnote w:type="continuationSeparator" w:id="0">
    <w:p w:rsidR="006D2CC9" w:rsidRDefault="006D2CC9" w:rsidP="00944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CC9" w:rsidRDefault="006D2CC9" w:rsidP="00944116">
      <w:r>
        <w:separator/>
      </w:r>
    </w:p>
  </w:footnote>
  <w:footnote w:type="continuationSeparator" w:id="0">
    <w:p w:rsidR="006D2CC9" w:rsidRDefault="006D2CC9" w:rsidP="00944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116" w:rsidRDefault="0094411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567"/>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6C9"/>
    <w:rsid w:val="000361D5"/>
    <w:rsid w:val="000707D5"/>
    <w:rsid w:val="00072F01"/>
    <w:rsid w:val="00076DA0"/>
    <w:rsid w:val="00086EAD"/>
    <w:rsid w:val="00094EEB"/>
    <w:rsid w:val="000F0D39"/>
    <w:rsid w:val="00105F71"/>
    <w:rsid w:val="001542A3"/>
    <w:rsid w:val="001736A2"/>
    <w:rsid w:val="00180DD0"/>
    <w:rsid w:val="001A3123"/>
    <w:rsid w:val="001F5722"/>
    <w:rsid w:val="002162AC"/>
    <w:rsid w:val="00263EDE"/>
    <w:rsid w:val="00267F0E"/>
    <w:rsid w:val="0027034A"/>
    <w:rsid w:val="002C7F33"/>
    <w:rsid w:val="002E715D"/>
    <w:rsid w:val="003461B9"/>
    <w:rsid w:val="0037220E"/>
    <w:rsid w:val="0044422F"/>
    <w:rsid w:val="004739DC"/>
    <w:rsid w:val="004C7DFE"/>
    <w:rsid w:val="004F4285"/>
    <w:rsid w:val="00501F39"/>
    <w:rsid w:val="00517D0E"/>
    <w:rsid w:val="005923DD"/>
    <w:rsid w:val="005A74BD"/>
    <w:rsid w:val="00640E0B"/>
    <w:rsid w:val="006A5E5E"/>
    <w:rsid w:val="006B74A0"/>
    <w:rsid w:val="006D2973"/>
    <w:rsid w:val="006D2CC9"/>
    <w:rsid w:val="006D2F81"/>
    <w:rsid w:val="00702D1C"/>
    <w:rsid w:val="007C4FC6"/>
    <w:rsid w:val="007D7F32"/>
    <w:rsid w:val="00864108"/>
    <w:rsid w:val="008D5674"/>
    <w:rsid w:val="00907E89"/>
    <w:rsid w:val="00914C4A"/>
    <w:rsid w:val="009348B7"/>
    <w:rsid w:val="00936810"/>
    <w:rsid w:val="00944116"/>
    <w:rsid w:val="00967036"/>
    <w:rsid w:val="0096765E"/>
    <w:rsid w:val="009761A5"/>
    <w:rsid w:val="009E29F5"/>
    <w:rsid w:val="009E2B78"/>
    <w:rsid w:val="00AC0239"/>
    <w:rsid w:val="00AE6374"/>
    <w:rsid w:val="00AF10DE"/>
    <w:rsid w:val="00AF47CC"/>
    <w:rsid w:val="00B17C7B"/>
    <w:rsid w:val="00B45AA4"/>
    <w:rsid w:val="00BC365D"/>
    <w:rsid w:val="00BC6625"/>
    <w:rsid w:val="00BE754D"/>
    <w:rsid w:val="00C306C9"/>
    <w:rsid w:val="00C75BD9"/>
    <w:rsid w:val="00CA6FB9"/>
    <w:rsid w:val="00D65793"/>
    <w:rsid w:val="00D90FAE"/>
    <w:rsid w:val="00DB55BF"/>
    <w:rsid w:val="00DE0657"/>
    <w:rsid w:val="00E0029D"/>
    <w:rsid w:val="00E871A4"/>
    <w:rsid w:val="00F14595"/>
    <w:rsid w:val="00F418D3"/>
    <w:rsid w:val="00F43B1E"/>
    <w:rsid w:val="00F527BD"/>
    <w:rsid w:val="00FB2EFA"/>
    <w:rsid w:val="00FC13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C3797"/>
  <w15:docId w15:val="{ED4FEDAC-2294-4E2F-80C1-4D22B6118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table" w:styleId="TabloKlavuzu">
    <w:name w:val="Table Grid"/>
    <w:basedOn w:val="NormalTablo"/>
    <w:uiPriority w:val="59"/>
    <w:rsid w:val="00FB2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7C4FC6"/>
    <w:rPr>
      <w:b/>
      <w:bCs/>
    </w:rPr>
  </w:style>
  <w:style w:type="character" w:customStyle="1" w:styleId="GvdeMetniChar">
    <w:name w:val="Gövde Metni Char"/>
    <w:basedOn w:val="VarsaylanParagrafYazTipi"/>
    <w:link w:val="GvdeMetni"/>
    <w:uiPriority w:val="1"/>
    <w:rsid w:val="00B45AA4"/>
    <w:rPr>
      <w:rFonts w:ascii="Times New Roman" w:eastAsia="Times New Roman" w:hAnsi="Times New Roman" w:cs="Times New Roman"/>
      <w:sz w:val="24"/>
      <w:szCs w:val="24"/>
      <w:lang w:val="tr-TR" w:eastAsia="tr-TR" w:bidi="tr-TR"/>
    </w:rPr>
  </w:style>
  <w:style w:type="character" w:styleId="Kpr">
    <w:name w:val="Hyperlink"/>
    <w:basedOn w:val="VarsaylanParagrafYazTipi"/>
    <w:uiPriority w:val="99"/>
    <w:unhideWhenUsed/>
    <w:rsid w:val="00B45AA4"/>
    <w:rPr>
      <w:color w:val="0000FF" w:themeColor="hyperlink"/>
      <w:u w:val="single"/>
    </w:rPr>
  </w:style>
  <w:style w:type="character" w:styleId="zlenenKpr">
    <w:name w:val="FollowedHyperlink"/>
    <w:basedOn w:val="VarsaylanParagrafYazTipi"/>
    <w:uiPriority w:val="99"/>
    <w:semiHidden/>
    <w:unhideWhenUsed/>
    <w:rsid w:val="003461B9"/>
    <w:rPr>
      <w:color w:val="800080" w:themeColor="followedHyperlink"/>
      <w:u w:val="single"/>
    </w:rPr>
  </w:style>
  <w:style w:type="paragraph" w:customStyle="1" w:styleId="Default">
    <w:name w:val="Default"/>
    <w:rsid w:val="00C75BD9"/>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944116"/>
    <w:pPr>
      <w:tabs>
        <w:tab w:val="center" w:pos="4513"/>
        <w:tab w:val="right" w:pos="9026"/>
      </w:tabs>
    </w:pPr>
  </w:style>
  <w:style w:type="character" w:customStyle="1" w:styleId="stBilgiChar">
    <w:name w:val="Üst Bilgi Char"/>
    <w:basedOn w:val="VarsaylanParagrafYazTipi"/>
    <w:link w:val="stBilgi"/>
    <w:uiPriority w:val="99"/>
    <w:rsid w:val="00944116"/>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944116"/>
    <w:pPr>
      <w:tabs>
        <w:tab w:val="center" w:pos="4513"/>
        <w:tab w:val="right" w:pos="9026"/>
      </w:tabs>
    </w:pPr>
  </w:style>
  <w:style w:type="character" w:customStyle="1" w:styleId="AltBilgiChar">
    <w:name w:val="Alt Bilgi Char"/>
    <w:basedOn w:val="VarsaylanParagrafYazTipi"/>
    <w:link w:val="AltBilgi"/>
    <w:uiPriority w:val="99"/>
    <w:rsid w:val="00944116"/>
    <w:rPr>
      <w:rFonts w:ascii="Times New Roman" w:eastAsia="Times New Roman" w:hAnsi="Times New Roman" w:cs="Times New Roman"/>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050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kademiktesvik.usak.edu.t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C2D7C-D6D5-4D12-8C5E-3FF49FBC1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Pages>
  <Words>594</Words>
  <Characters>3391</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ZEYNEP</dc:creator>
  <cp:lastModifiedBy>hp</cp:lastModifiedBy>
  <cp:revision>14</cp:revision>
  <dcterms:created xsi:type="dcterms:W3CDTF">2025-12-17T06:31:00Z</dcterms:created>
  <dcterms:modified xsi:type="dcterms:W3CDTF">2026-01-06T21:05:00Z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2018-12-18T00:00:00Z</vt:filetime>
  </property>
  <property fmtid="{D5CDD505-2E9C-101B-9397-08002B2CF9AE}" pid="3" name="Creator">
    <vt:lpwstr>Microsoft® Word 2016</vt:lpwstr>
  </property>
  <property fmtid="{D5CDD505-2E9C-101B-9397-08002B2CF9AE}" pid="4" name="LastSaved">
    <vt:filetime>2018-12-26T00:00:00Z</vt:filetime>
  </property>
</Properties>
</file>