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768" w:rsidRDefault="00EE3768" w:rsidP="00EE3768">
      <w:pPr>
        <w:rPr>
          <w:rFonts w:ascii="Arial" w:hAnsi="Arial"/>
          <w:sz w:val="16"/>
        </w:rPr>
      </w:pPr>
      <w:bookmarkStart w:id="0" w:name="_GoBack"/>
      <w:bookmarkEnd w:id="0"/>
    </w:p>
    <w:p w:rsidR="00EE3768" w:rsidRDefault="00EE3768" w:rsidP="00EE3768">
      <w:pPr>
        <w:rPr>
          <w:rFonts w:ascii="Arial" w:hAnsi="Arial"/>
          <w:sz w:val="16"/>
        </w:rPr>
      </w:pPr>
    </w:p>
    <w:p w:rsidR="00EE3768" w:rsidRDefault="00EE3768" w:rsidP="00EE3768">
      <w:pPr>
        <w:jc w:val="center"/>
        <w:rPr>
          <w:b/>
          <w:szCs w:val="24"/>
        </w:rPr>
      </w:pPr>
      <w:r w:rsidRPr="00C944E3">
        <w:rPr>
          <w:b/>
          <w:szCs w:val="24"/>
        </w:rPr>
        <w:t>BİRİM FİYAT TEKLİF CETVELİ</w:t>
      </w:r>
    </w:p>
    <w:p w:rsidR="008C140C" w:rsidRDefault="008C140C" w:rsidP="00EE3768">
      <w:pPr>
        <w:jc w:val="center"/>
        <w:rPr>
          <w:b/>
          <w:szCs w:val="24"/>
        </w:rPr>
      </w:pPr>
    </w:p>
    <w:p w:rsidR="001719D4" w:rsidRPr="001719D4" w:rsidRDefault="00F9648D" w:rsidP="001719D4">
      <w:pPr>
        <w:rPr>
          <w:szCs w:val="24"/>
        </w:rPr>
      </w:pPr>
      <w:r>
        <w:rPr>
          <w:szCs w:val="24"/>
        </w:rPr>
        <w:t>İdarenin Adı                         :</w:t>
      </w:r>
      <w:r w:rsidR="003C3C48" w:rsidRPr="003C3C48">
        <w:t xml:space="preserve"> </w:t>
      </w:r>
      <w:r w:rsidR="003C3C48" w:rsidRPr="003C3C48">
        <w:rPr>
          <w:szCs w:val="24"/>
        </w:rPr>
        <w:t xml:space="preserve">Uşak Üniversitesi </w:t>
      </w:r>
      <w:r w:rsidR="00D73FAB">
        <w:rPr>
          <w:szCs w:val="24"/>
        </w:rPr>
        <w:t xml:space="preserve">Tıp Fakültesi </w:t>
      </w:r>
    </w:p>
    <w:p w:rsidR="00F1493D" w:rsidRDefault="008B7373" w:rsidP="0091308A">
      <w:pPr>
        <w:rPr>
          <w:szCs w:val="24"/>
        </w:rPr>
      </w:pPr>
      <w:r>
        <w:rPr>
          <w:szCs w:val="24"/>
        </w:rPr>
        <w:t xml:space="preserve">Doğrudan Temin Numarası </w:t>
      </w:r>
      <w:r w:rsidR="00EE3768" w:rsidRPr="00C944E3">
        <w:rPr>
          <w:szCs w:val="24"/>
        </w:rPr>
        <w:t>:</w:t>
      </w:r>
      <w:r w:rsidR="003C3C48">
        <w:rPr>
          <w:szCs w:val="24"/>
        </w:rPr>
        <w:t xml:space="preserve"> </w:t>
      </w:r>
      <w:r w:rsidR="00D04C3D">
        <w:rPr>
          <w:szCs w:val="24"/>
        </w:rPr>
        <w:t>24DT346782</w:t>
      </w:r>
    </w:p>
    <w:p w:rsidR="00A658AE" w:rsidRDefault="00A658AE" w:rsidP="0091308A">
      <w:pPr>
        <w:rPr>
          <w:szCs w:val="24"/>
        </w:rPr>
      </w:pPr>
      <w:r>
        <w:rPr>
          <w:szCs w:val="24"/>
        </w:rPr>
        <w:t>Malın Adı                            :</w:t>
      </w:r>
      <w:r w:rsidR="003C3C48">
        <w:rPr>
          <w:szCs w:val="24"/>
        </w:rPr>
        <w:t xml:space="preserve"> </w:t>
      </w:r>
      <w:r w:rsidR="00BE1581">
        <w:rPr>
          <w:szCs w:val="24"/>
        </w:rPr>
        <w:t>Sıvı Azot ve Karbondioksit Gazı (CO2) Dolumu</w:t>
      </w:r>
    </w:p>
    <w:p w:rsidR="003C3C48" w:rsidRDefault="003C3C48" w:rsidP="003C3C48">
      <w:pPr>
        <w:rPr>
          <w:szCs w:val="24"/>
        </w:rPr>
      </w:pPr>
      <w:r>
        <w:rPr>
          <w:szCs w:val="24"/>
        </w:rPr>
        <w:t>Teklif İçin Son Tarih           : 13/03/2024 14</w:t>
      </w:r>
      <w:r>
        <w:rPr>
          <w:szCs w:val="24"/>
        </w:rPr>
        <w:t>:00</w:t>
      </w:r>
    </w:p>
    <w:p w:rsidR="003C3C48" w:rsidRDefault="003C3C48" w:rsidP="0091308A">
      <w:pPr>
        <w:rPr>
          <w:szCs w:val="24"/>
        </w:rPr>
      </w:pPr>
    </w:p>
    <w:p w:rsidR="0091308A" w:rsidRDefault="0091308A" w:rsidP="0091308A">
      <w:pPr>
        <w:rPr>
          <w:szCs w:val="24"/>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7"/>
        <w:gridCol w:w="1475"/>
        <w:gridCol w:w="1893"/>
        <w:gridCol w:w="977"/>
        <w:gridCol w:w="1351"/>
        <w:gridCol w:w="1654"/>
        <w:gridCol w:w="1321"/>
      </w:tblGrid>
      <w:tr w:rsidR="00874864" w:rsidTr="00874864">
        <w:tc>
          <w:tcPr>
            <w:tcW w:w="714" w:type="dxa"/>
          </w:tcPr>
          <w:p w:rsidR="00874864" w:rsidRPr="00AF253C" w:rsidRDefault="00874864" w:rsidP="00AF253C">
            <w:pPr>
              <w:jc w:val="center"/>
              <w:rPr>
                <w:sz w:val="22"/>
                <w:szCs w:val="24"/>
              </w:rPr>
            </w:pPr>
          </w:p>
        </w:tc>
        <w:tc>
          <w:tcPr>
            <w:tcW w:w="4293" w:type="dxa"/>
            <w:gridSpan w:val="3"/>
          </w:tcPr>
          <w:p w:rsidR="00874864" w:rsidRPr="00AF253C" w:rsidRDefault="00874864" w:rsidP="00334A5B">
            <w:pPr>
              <w:tabs>
                <w:tab w:val="left" w:pos="480"/>
                <w:tab w:val="center" w:pos="611"/>
              </w:tabs>
              <w:jc w:val="center"/>
              <w:rPr>
                <w:sz w:val="22"/>
                <w:szCs w:val="24"/>
              </w:rPr>
            </w:pPr>
            <w:r w:rsidRPr="00AF253C">
              <w:rPr>
                <w:sz w:val="22"/>
                <w:szCs w:val="24"/>
              </w:rPr>
              <w:t>A</w:t>
            </w:r>
          </w:p>
        </w:tc>
        <w:tc>
          <w:tcPr>
            <w:tcW w:w="3031" w:type="dxa"/>
            <w:gridSpan w:val="2"/>
          </w:tcPr>
          <w:p w:rsidR="00874864" w:rsidRPr="00AF253C" w:rsidRDefault="00874864" w:rsidP="00334A5B">
            <w:pPr>
              <w:rPr>
                <w:sz w:val="22"/>
                <w:szCs w:val="24"/>
              </w:rPr>
            </w:pPr>
            <w:r>
              <w:rPr>
                <w:sz w:val="22"/>
                <w:szCs w:val="24"/>
              </w:rPr>
              <w:tab/>
            </w:r>
            <w:r>
              <w:rPr>
                <w:sz w:val="22"/>
                <w:szCs w:val="24"/>
              </w:rPr>
              <w:tab/>
            </w:r>
            <w:r w:rsidRPr="00AF253C">
              <w:rPr>
                <w:sz w:val="22"/>
                <w:szCs w:val="24"/>
              </w:rPr>
              <w:t>B</w:t>
            </w:r>
          </w:p>
        </w:tc>
        <w:tc>
          <w:tcPr>
            <w:tcW w:w="1340" w:type="dxa"/>
          </w:tcPr>
          <w:p w:rsidR="00874864" w:rsidRDefault="00874864" w:rsidP="00334A5B">
            <w:pPr>
              <w:rPr>
                <w:sz w:val="22"/>
                <w:szCs w:val="24"/>
              </w:rPr>
            </w:pPr>
          </w:p>
        </w:tc>
      </w:tr>
      <w:tr w:rsidR="00874864" w:rsidTr="00874864">
        <w:tc>
          <w:tcPr>
            <w:tcW w:w="714" w:type="dxa"/>
          </w:tcPr>
          <w:p w:rsidR="00874864" w:rsidRPr="00AF253C" w:rsidRDefault="00874864" w:rsidP="00AF253C">
            <w:pPr>
              <w:jc w:val="center"/>
              <w:rPr>
                <w:sz w:val="22"/>
                <w:szCs w:val="24"/>
              </w:rPr>
            </w:pPr>
            <w:r w:rsidRPr="00AF253C">
              <w:rPr>
                <w:sz w:val="22"/>
                <w:szCs w:val="24"/>
              </w:rPr>
              <w:t>Sıra No</w:t>
            </w:r>
          </w:p>
        </w:tc>
        <w:tc>
          <w:tcPr>
            <w:tcW w:w="1372" w:type="dxa"/>
          </w:tcPr>
          <w:p w:rsidR="00874864" w:rsidRPr="00AF253C" w:rsidRDefault="00874864" w:rsidP="00AF253C">
            <w:pPr>
              <w:jc w:val="center"/>
              <w:rPr>
                <w:sz w:val="22"/>
                <w:szCs w:val="24"/>
              </w:rPr>
            </w:pPr>
            <w:r w:rsidRPr="00AF253C">
              <w:rPr>
                <w:sz w:val="22"/>
                <w:szCs w:val="24"/>
              </w:rPr>
              <w:t>Mal Kaleminin Adı ve Kısa Açıklaması</w:t>
            </w:r>
          </w:p>
        </w:tc>
        <w:tc>
          <w:tcPr>
            <w:tcW w:w="1939" w:type="dxa"/>
          </w:tcPr>
          <w:p w:rsidR="00874864" w:rsidRPr="00AF253C" w:rsidRDefault="00874864" w:rsidP="00AF253C">
            <w:pPr>
              <w:jc w:val="center"/>
              <w:rPr>
                <w:sz w:val="22"/>
                <w:szCs w:val="24"/>
              </w:rPr>
            </w:pPr>
            <w:r w:rsidRPr="00AF253C">
              <w:rPr>
                <w:sz w:val="22"/>
                <w:szCs w:val="24"/>
              </w:rPr>
              <w:t>Birimi</w:t>
            </w:r>
          </w:p>
        </w:tc>
        <w:tc>
          <w:tcPr>
            <w:tcW w:w="982" w:type="dxa"/>
          </w:tcPr>
          <w:p w:rsidR="00874864" w:rsidRPr="00AF253C" w:rsidRDefault="00874864" w:rsidP="00AF253C">
            <w:pPr>
              <w:jc w:val="center"/>
              <w:rPr>
                <w:sz w:val="22"/>
                <w:szCs w:val="24"/>
              </w:rPr>
            </w:pPr>
            <w:r w:rsidRPr="00AF253C">
              <w:rPr>
                <w:sz w:val="22"/>
                <w:szCs w:val="24"/>
              </w:rPr>
              <w:t>Miktarı</w:t>
            </w:r>
          </w:p>
        </w:tc>
        <w:tc>
          <w:tcPr>
            <w:tcW w:w="1356" w:type="dxa"/>
          </w:tcPr>
          <w:p w:rsidR="00874864" w:rsidRPr="00AF253C" w:rsidRDefault="00874864" w:rsidP="00AF253C">
            <w:pPr>
              <w:jc w:val="center"/>
              <w:rPr>
                <w:sz w:val="22"/>
                <w:szCs w:val="24"/>
              </w:rPr>
            </w:pPr>
            <w:r w:rsidRPr="00AF253C">
              <w:rPr>
                <w:sz w:val="22"/>
                <w:szCs w:val="24"/>
              </w:rPr>
              <w:t>Teklif Edilen Birim Fiyat (Para birimi belirtilerek)</w:t>
            </w:r>
          </w:p>
        </w:tc>
        <w:tc>
          <w:tcPr>
            <w:tcW w:w="1675" w:type="dxa"/>
          </w:tcPr>
          <w:p w:rsidR="00874864" w:rsidRPr="00AF253C" w:rsidRDefault="00874864" w:rsidP="00AF253C">
            <w:pPr>
              <w:jc w:val="center"/>
              <w:rPr>
                <w:sz w:val="22"/>
                <w:szCs w:val="24"/>
              </w:rPr>
            </w:pPr>
            <w:r w:rsidRPr="00AF253C">
              <w:rPr>
                <w:sz w:val="22"/>
                <w:szCs w:val="24"/>
              </w:rPr>
              <w:t>Tutarı (Para birimi belirtilerek)</w:t>
            </w:r>
          </w:p>
        </w:tc>
        <w:tc>
          <w:tcPr>
            <w:tcW w:w="1340" w:type="dxa"/>
          </w:tcPr>
          <w:p w:rsidR="00874864" w:rsidRPr="00AF253C" w:rsidRDefault="00874864" w:rsidP="00AF253C">
            <w:pPr>
              <w:jc w:val="center"/>
              <w:rPr>
                <w:sz w:val="22"/>
                <w:szCs w:val="24"/>
              </w:rPr>
            </w:pPr>
            <w:r>
              <w:rPr>
                <w:sz w:val="22"/>
                <w:szCs w:val="24"/>
              </w:rPr>
              <w:t>İstekli Bilgileri</w:t>
            </w:r>
          </w:p>
        </w:tc>
      </w:tr>
      <w:tr w:rsidR="00874864" w:rsidTr="00874864">
        <w:tc>
          <w:tcPr>
            <w:tcW w:w="714" w:type="dxa"/>
          </w:tcPr>
          <w:p w:rsidR="00874864" w:rsidRPr="00AF253C" w:rsidRDefault="00874864" w:rsidP="0091308A">
            <w:pPr>
              <w:rPr>
                <w:sz w:val="22"/>
                <w:szCs w:val="24"/>
              </w:rPr>
            </w:pPr>
            <w:r>
              <w:rPr>
                <w:sz w:val="22"/>
                <w:szCs w:val="24"/>
              </w:rPr>
              <w:t>1</w:t>
            </w:r>
          </w:p>
        </w:tc>
        <w:tc>
          <w:tcPr>
            <w:tcW w:w="1372" w:type="dxa"/>
          </w:tcPr>
          <w:p w:rsidR="00874864" w:rsidRPr="00AF253C" w:rsidRDefault="00874864" w:rsidP="0091308A">
            <w:pPr>
              <w:rPr>
                <w:sz w:val="22"/>
                <w:szCs w:val="24"/>
              </w:rPr>
            </w:pPr>
            <w:r w:rsidRPr="00AF253C">
              <w:rPr>
                <w:sz w:val="22"/>
                <w:szCs w:val="24"/>
              </w:rPr>
              <w:t>Sıvı Azot Dolumu</w:t>
            </w:r>
          </w:p>
        </w:tc>
        <w:tc>
          <w:tcPr>
            <w:tcW w:w="1939" w:type="dxa"/>
          </w:tcPr>
          <w:p w:rsidR="00874864" w:rsidRPr="00AF253C" w:rsidRDefault="00874864" w:rsidP="0091308A">
            <w:pPr>
              <w:rPr>
                <w:sz w:val="22"/>
                <w:szCs w:val="24"/>
              </w:rPr>
            </w:pPr>
            <w:r w:rsidRPr="00AF253C">
              <w:rPr>
                <w:sz w:val="22"/>
                <w:szCs w:val="24"/>
              </w:rPr>
              <w:t>kilogram</w:t>
            </w:r>
          </w:p>
        </w:tc>
        <w:tc>
          <w:tcPr>
            <w:tcW w:w="982" w:type="dxa"/>
          </w:tcPr>
          <w:p w:rsidR="00874864" w:rsidRPr="00AF253C" w:rsidRDefault="00874864" w:rsidP="0091308A">
            <w:pPr>
              <w:rPr>
                <w:sz w:val="22"/>
                <w:szCs w:val="24"/>
              </w:rPr>
            </w:pPr>
            <w:r w:rsidRPr="00AF253C">
              <w:rPr>
                <w:sz w:val="22"/>
                <w:szCs w:val="24"/>
              </w:rPr>
              <w:t>131</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714" w:type="dxa"/>
          </w:tcPr>
          <w:p w:rsidR="00874864" w:rsidRPr="00AF253C" w:rsidRDefault="00874864" w:rsidP="0091308A">
            <w:pPr>
              <w:rPr>
                <w:sz w:val="22"/>
                <w:szCs w:val="24"/>
              </w:rPr>
            </w:pPr>
            <w:r>
              <w:rPr>
                <w:sz w:val="22"/>
                <w:szCs w:val="24"/>
              </w:rPr>
              <w:t>2</w:t>
            </w:r>
          </w:p>
        </w:tc>
        <w:tc>
          <w:tcPr>
            <w:tcW w:w="1372" w:type="dxa"/>
          </w:tcPr>
          <w:p w:rsidR="00874864" w:rsidRPr="00AF253C" w:rsidRDefault="00874864" w:rsidP="0091308A">
            <w:pPr>
              <w:rPr>
                <w:sz w:val="22"/>
                <w:szCs w:val="24"/>
              </w:rPr>
            </w:pPr>
            <w:r w:rsidRPr="00AF253C">
              <w:rPr>
                <w:sz w:val="22"/>
                <w:szCs w:val="24"/>
              </w:rPr>
              <w:t>Karbondioksit</w:t>
            </w:r>
            <w:r w:rsidR="003C3C48">
              <w:rPr>
                <w:sz w:val="22"/>
                <w:szCs w:val="24"/>
              </w:rPr>
              <w:t xml:space="preserve"> Gazı </w:t>
            </w:r>
            <w:r w:rsidRPr="00AF253C">
              <w:rPr>
                <w:sz w:val="22"/>
                <w:szCs w:val="24"/>
              </w:rPr>
              <w:t>(CO2) Dolumu</w:t>
            </w:r>
          </w:p>
        </w:tc>
        <w:tc>
          <w:tcPr>
            <w:tcW w:w="1939" w:type="dxa"/>
          </w:tcPr>
          <w:p w:rsidR="00874864" w:rsidRPr="00AF253C" w:rsidRDefault="00874864" w:rsidP="0091308A">
            <w:pPr>
              <w:rPr>
                <w:sz w:val="22"/>
                <w:szCs w:val="24"/>
              </w:rPr>
            </w:pPr>
            <w:r w:rsidRPr="00AF253C">
              <w:rPr>
                <w:sz w:val="22"/>
                <w:szCs w:val="24"/>
              </w:rPr>
              <w:t>kilogram</w:t>
            </w:r>
          </w:p>
        </w:tc>
        <w:tc>
          <w:tcPr>
            <w:tcW w:w="982" w:type="dxa"/>
          </w:tcPr>
          <w:p w:rsidR="00874864" w:rsidRPr="00AF253C" w:rsidRDefault="00874864" w:rsidP="0091308A">
            <w:pPr>
              <w:rPr>
                <w:sz w:val="22"/>
                <w:szCs w:val="24"/>
              </w:rPr>
            </w:pPr>
            <w:r w:rsidRPr="00AF253C">
              <w:rPr>
                <w:sz w:val="22"/>
                <w:szCs w:val="24"/>
              </w:rPr>
              <w:t>100</w:t>
            </w:r>
          </w:p>
        </w:tc>
        <w:tc>
          <w:tcPr>
            <w:tcW w:w="1356" w:type="dxa"/>
          </w:tcPr>
          <w:p w:rsidR="00874864" w:rsidRPr="00AF253C" w:rsidRDefault="00874864" w:rsidP="0091308A">
            <w:pPr>
              <w:rPr>
                <w:sz w:val="22"/>
                <w:szCs w:val="24"/>
              </w:rPr>
            </w:pPr>
          </w:p>
        </w:tc>
        <w:tc>
          <w:tcPr>
            <w:tcW w:w="1675" w:type="dxa"/>
          </w:tcPr>
          <w:p w:rsidR="00874864" w:rsidRPr="00AF253C" w:rsidRDefault="00874864" w:rsidP="0091308A">
            <w:pPr>
              <w:rPr>
                <w:sz w:val="22"/>
                <w:szCs w:val="24"/>
              </w:rPr>
            </w:pPr>
          </w:p>
        </w:tc>
        <w:tc>
          <w:tcPr>
            <w:tcW w:w="1340" w:type="dxa"/>
          </w:tcPr>
          <w:p w:rsidR="00874864" w:rsidRDefault="00874864" w:rsidP="0091308A">
            <w:pPr>
              <w:rPr>
                <w:sz w:val="22"/>
                <w:szCs w:val="24"/>
              </w:rPr>
            </w:pPr>
          </w:p>
        </w:tc>
      </w:tr>
      <w:tr w:rsidR="00874864" w:rsidTr="00874864">
        <w:tc>
          <w:tcPr>
            <w:tcW w:w="6363" w:type="dxa"/>
            <w:gridSpan w:val="5"/>
          </w:tcPr>
          <w:p w:rsidR="00874864" w:rsidRPr="00AF253C" w:rsidRDefault="00874864" w:rsidP="00AF253C">
            <w:pPr>
              <w:jc w:val="center"/>
              <w:rPr>
                <w:sz w:val="22"/>
                <w:szCs w:val="24"/>
              </w:rPr>
            </w:pPr>
            <w:r w:rsidRPr="00AF253C">
              <w:rPr>
                <w:sz w:val="22"/>
                <w:szCs w:val="24"/>
              </w:rPr>
              <w:t>Toplam Tutar (K.D.V Hariç)</w:t>
            </w:r>
          </w:p>
        </w:tc>
        <w:tc>
          <w:tcPr>
            <w:tcW w:w="1675" w:type="dxa"/>
          </w:tcPr>
          <w:p w:rsidR="00874864" w:rsidRPr="00AF253C" w:rsidRDefault="00874864" w:rsidP="00D62447">
            <w:pPr>
              <w:rPr>
                <w:sz w:val="22"/>
                <w:szCs w:val="24"/>
              </w:rPr>
            </w:pPr>
          </w:p>
        </w:tc>
        <w:tc>
          <w:tcPr>
            <w:tcW w:w="1340" w:type="dxa"/>
          </w:tcPr>
          <w:p w:rsidR="00874864" w:rsidRDefault="00874864" w:rsidP="00D62447">
            <w:pPr>
              <w:rPr>
                <w:sz w:val="22"/>
                <w:szCs w:val="24"/>
              </w:rPr>
            </w:pPr>
          </w:p>
        </w:tc>
      </w:tr>
    </w:tbl>
    <w:p w:rsidR="003478E1" w:rsidRDefault="003478E1" w:rsidP="00EE3768">
      <w:pPr>
        <w:jc w:val="both"/>
        <w:rPr>
          <w:sz w:val="20"/>
        </w:rPr>
      </w:pPr>
    </w:p>
    <w:p w:rsidR="00260231" w:rsidRPr="0029799C" w:rsidRDefault="00260231" w:rsidP="00260231">
      <w:pPr>
        <w:tabs>
          <w:tab w:val="left" w:pos="6390"/>
        </w:tabs>
      </w:pPr>
      <w:r w:rsidRPr="0029799C">
        <w:tab/>
      </w:r>
    </w:p>
    <w:tbl>
      <w:tblPr>
        <w:tblW w:w="3489" w:type="dxa"/>
        <w:jc w:val="right"/>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260231" w:rsidRPr="0029799C" w:rsidTr="002966DD">
        <w:trPr>
          <w:trHeight w:val="284"/>
          <w:jc w:val="right"/>
        </w:trPr>
        <w:tc>
          <w:tcPr>
            <w:tcW w:w="3489" w:type="dxa"/>
          </w:tcPr>
          <w:p w:rsidR="00260231" w:rsidRPr="0029799C" w:rsidRDefault="00260231" w:rsidP="00E917AD">
            <w:pPr>
              <w:ind w:right="-5220"/>
              <w:jc w:val="both"/>
              <w:rPr>
                <w:sz w:val="22"/>
                <w:vertAlign w:val="superscript"/>
              </w:rPr>
            </w:pPr>
            <w:r w:rsidRPr="0029799C">
              <w:t>Adı - SOYADI / Ticaret unvanı</w:t>
            </w:r>
          </w:p>
        </w:tc>
      </w:tr>
      <w:tr w:rsidR="00260231" w:rsidRPr="0029799C" w:rsidTr="002966DD">
        <w:trPr>
          <w:trHeight w:val="263"/>
          <w:jc w:val="right"/>
        </w:trPr>
        <w:tc>
          <w:tcPr>
            <w:tcW w:w="3489" w:type="dxa"/>
          </w:tcPr>
          <w:p w:rsidR="00260231" w:rsidRPr="0029799C" w:rsidRDefault="00260231" w:rsidP="00E917AD">
            <w:pPr>
              <w:jc w:val="both"/>
              <w:rPr>
                <w:sz w:val="22"/>
              </w:rPr>
            </w:pPr>
            <w:r w:rsidRPr="0029799C">
              <w:t xml:space="preserve">Kaşe ve İmza </w:t>
            </w:r>
          </w:p>
        </w:tc>
      </w:tr>
    </w:tbl>
    <w:p w:rsidR="003C3C48" w:rsidRDefault="00EE3768" w:rsidP="003C3C48">
      <w:pPr>
        <w:jc w:val="cente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3C3C48" w:rsidRDefault="003C3C48" w:rsidP="003C3C48">
      <w:pPr>
        <w:jc w:val="center"/>
        <w:rPr>
          <w:sz w:val="16"/>
        </w:rPr>
      </w:pPr>
    </w:p>
    <w:p w:rsidR="003C3C48" w:rsidRDefault="003C3C48" w:rsidP="003C3C48">
      <w:pPr>
        <w:jc w:val="center"/>
        <w:rPr>
          <w:sz w:val="16"/>
        </w:rPr>
      </w:pPr>
    </w:p>
    <w:p w:rsidR="003C3C48" w:rsidRPr="00881542" w:rsidRDefault="00EE3768" w:rsidP="003C3C48">
      <w:pPr>
        <w:rPr>
          <w:szCs w:val="24"/>
        </w:rPr>
      </w:pPr>
      <w:r>
        <w:rPr>
          <w:sz w:val="16"/>
        </w:rPr>
        <w:tab/>
      </w:r>
      <w:r>
        <w:rPr>
          <w:sz w:val="16"/>
        </w:rPr>
        <w:tab/>
      </w:r>
      <w:r>
        <w:rPr>
          <w:sz w:val="16"/>
        </w:rPr>
        <w:tab/>
      </w:r>
      <w:r w:rsidR="003C3C48" w:rsidRPr="00881542">
        <w:rPr>
          <w:szCs w:val="24"/>
        </w:rPr>
        <w:t>İLETİŞİM BİLGİLERİMİZ</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7224"/>
      </w:tblGrid>
      <w:tr w:rsidR="003C3C48" w:rsidRPr="00881542" w:rsidTr="002325DF">
        <w:tc>
          <w:tcPr>
            <w:tcW w:w="1838" w:type="dxa"/>
            <w:shd w:val="clear" w:color="auto" w:fill="auto"/>
          </w:tcPr>
          <w:p w:rsidR="003C3C48" w:rsidRPr="00881542" w:rsidRDefault="003C3C48" w:rsidP="002325DF">
            <w:pPr>
              <w:rPr>
                <w:szCs w:val="24"/>
              </w:rPr>
            </w:pPr>
            <w:r w:rsidRPr="00881542">
              <w:rPr>
                <w:szCs w:val="24"/>
              </w:rPr>
              <w:t>Telefon</w:t>
            </w:r>
          </w:p>
        </w:tc>
        <w:tc>
          <w:tcPr>
            <w:tcW w:w="7224" w:type="dxa"/>
            <w:shd w:val="clear" w:color="auto" w:fill="auto"/>
          </w:tcPr>
          <w:p w:rsidR="003C3C48" w:rsidRPr="00881542" w:rsidRDefault="003C3C48" w:rsidP="002325DF">
            <w:pPr>
              <w:rPr>
                <w:szCs w:val="24"/>
              </w:rPr>
            </w:pPr>
            <w:r w:rsidRPr="00881542">
              <w:rPr>
                <w:szCs w:val="24"/>
              </w:rPr>
              <w:t>(0276) 221 21 21</w:t>
            </w:r>
          </w:p>
        </w:tc>
      </w:tr>
      <w:tr w:rsidR="003C3C48" w:rsidRPr="00881542" w:rsidTr="002325DF">
        <w:tc>
          <w:tcPr>
            <w:tcW w:w="1838" w:type="dxa"/>
            <w:shd w:val="clear" w:color="auto" w:fill="auto"/>
          </w:tcPr>
          <w:p w:rsidR="003C3C48" w:rsidRPr="00881542" w:rsidRDefault="003C3C48" w:rsidP="002325DF">
            <w:pPr>
              <w:rPr>
                <w:szCs w:val="24"/>
              </w:rPr>
            </w:pPr>
            <w:r w:rsidRPr="00881542">
              <w:rPr>
                <w:szCs w:val="24"/>
              </w:rPr>
              <w:t>E-posta</w:t>
            </w:r>
          </w:p>
        </w:tc>
        <w:tc>
          <w:tcPr>
            <w:tcW w:w="7224" w:type="dxa"/>
            <w:shd w:val="clear" w:color="auto" w:fill="auto"/>
          </w:tcPr>
          <w:p w:rsidR="003C3C48" w:rsidRPr="00881542" w:rsidRDefault="003C3C48" w:rsidP="002325DF">
            <w:pPr>
              <w:rPr>
                <w:szCs w:val="24"/>
              </w:rPr>
            </w:pPr>
            <w:r w:rsidRPr="00881542">
              <w:rPr>
                <w:szCs w:val="24"/>
              </w:rPr>
              <w:t>tip@usak.edu.tr</w:t>
            </w:r>
          </w:p>
        </w:tc>
      </w:tr>
      <w:tr w:rsidR="003C3C48" w:rsidRPr="00881542" w:rsidTr="002325DF">
        <w:tc>
          <w:tcPr>
            <w:tcW w:w="1838" w:type="dxa"/>
            <w:shd w:val="clear" w:color="auto" w:fill="auto"/>
          </w:tcPr>
          <w:p w:rsidR="003C3C48" w:rsidRPr="00881542" w:rsidRDefault="003C3C48" w:rsidP="002325DF">
            <w:pPr>
              <w:rPr>
                <w:szCs w:val="24"/>
              </w:rPr>
            </w:pPr>
            <w:r w:rsidRPr="00881542">
              <w:rPr>
                <w:szCs w:val="24"/>
              </w:rPr>
              <w:t>Adres</w:t>
            </w:r>
          </w:p>
        </w:tc>
        <w:tc>
          <w:tcPr>
            <w:tcW w:w="7224" w:type="dxa"/>
            <w:shd w:val="clear" w:color="auto" w:fill="auto"/>
          </w:tcPr>
          <w:p w:rsidR="003C3C48" w:rsidRPr="00881542" w:rsidRDefault="003C3C48" w:rsidP="002325DF">
            <w:pPr>
              <w:rPr>
                <w:szCs w:val="24"/>
              </w:rPr>
            </w:pPr>
            <w:r w:rsidRPr="00881542">
              <w:rPr>
                <w:szCs w:val="24"/>
              </w:rPr>
              <w:t>Uşak Üniversitesi Tıp Fakültesi Dekanlığı Bir Eylül Kampüsü</w:t>
            </w:r>
          </w:p>
          <w:p w:rsidR="003C3C48" w:rsidRPr="00881542" w:rsidRDefault="003C3C48" w:rsidP="002325DF">
            <w:pPr>
              <w:rPr>
                <w:szCs w:val="24"/>
              </w:rPr>
            </w:pPr>
            <w:r w:rsidRPr="00881542">
              <w:rPr>
                <w:szCs w:val="24"/>
              </w:rPr>
              <w:t>İzmir Yolu 8. km</w:t>
            </w:r>
          </w:p>
        </w:tc>
      </w:tr>
      <w:tr w:rsidR="003C3C48" w:rsidRPr="00881542" w:rsidTr="002325DF">
        <w:tc>
          <w:tcPr>
            <w:tcW w:w="1838" w:type="dxa"/>
            <w:shd w:val="clear" w:color="auto" w:fill="auto"/>
          </w:tcPr>
          <w:p w:rsidR="003C3C48" w:rsidRPr="00881542" w:rsidRDefault="003C3C48" w:rsidP="002325DF">
            <w:pPr>
              <w:rPr>
                <w:szCs w:val="24"/>
              </w:rPr>
            </w:pPr>
            <w:r w:rsidRPr="00881542">
              <w:rPr>
                <w:szCs w:val="24"/>
              </w:rPr>
              <w:t>Ayrıntılı</w:t>
            </w:r>
          </w:p>
          <w:p w:rsidR="003C3C48" w:rsidRPr="00881542" w:rsidRDefault="003C3C48" w:rsidP="002325DF">
            <w:pPr>
              <w:rPr>
                <w:szCs w:val="24"/>
              </w:rPr>
            </w:pPr>
            <w:r w:rsidRPr="00881542">
              <w:rPr>
                <w:szCs w:val="24"/>
              </w:rPr>
              <w:t>Bilgi</w:t>
            </w:r>
          </w:p>
        </w:tc>
        <w:tc>
          <w:tcPr>
            <w:tcW w:w="7224" w:type="dxa"/>
            <w:shd w:val="clear" w:color="auto" w:fill="auto"/>
          </w:tcPr>
          <w:p w:rsidR="003C3C48" w:rsidRPr="00881542" w:rsidRDefault="003C3C48" w:rsidP="002325DF">
            <w:pPr>
              <w:rPr>
                <w:szCs w:val="24"/>
              </w:rPr>
            </w:pPr>
            <w:r w:rsidRPr="00881542">
              <w:rPr>
                <w:szCs w:val="24"/>
              </w:rPr>
              <w:t>Memur Fatma ŞAVKAR (Dahili 6018)</w:t>
            </w:r>
          </w:p>
        </w:tc>
      </w:tr>
    </w:tbl>
    <w:p w:rsidR="003C3C48" w:rsidRPr="00881542" w:rsidRDefault="003C3C48" w:rsidP="003C3C48">
      <w:pPr>
        <w:jc w:val="center"/>
        <w:rPr>
          <w:sz w:val="20"/>
        </w:rPr>
      </w:pPr>
    </w:p>
    <w:p w:rsidR="003C3C48" w:rsidRPr="00BF6B68" w:rsidRDefault="003C3C48" w:rsidP="003C3C48">
      <w:pPr>
        <w:jc w:val="both"/>
        <w:rPr>
          <w:szCs w:val="24"/>
        </w:rPr>
      </w:pPr>
      <w:r w:rsidRPr="00BF6B68">
        <w:rPr>
          <w:b/>
          <w:szCs w:val="24"/>
        </w:rPr>
        <w:t>Not:</w:t>
      </w:r>
      <w:r>
        <w:rPr>
          <w:b/>
          <w:sz w:val="20"/>
        </w:rPr>
        <w:t xml:space="preserve"> </w:t>
      </w:r>
      <w:r w:rsidRPr="00BF6B68">
        <w:rPr>
          <w:szCs w:val="24"/>
        </w:rPr>
        <w:t>2 adet 28 kg’lık ve 1 adet 75kg’lık sıvı azot tankı dolumu yapılacaktır.</w:t>
      </w:r>
    </w:p>
    <w:p w:rsidR="003C3C48" w:rsidRPr="00BF6B68" w:rsidRDefault="003C3C48" w:rsidP="003C3C48">
      <w:pPr>
        <w:jc w:val="both"/>
        <w:rPr>
          <w:szCs w:val="24"/>
        </w:rPr>
      </w:pPr>
      <w:r w:rsidRPr="00BF6B68">
        <w:rPr>
          <w:szCs w:val="24"/>
        </w:rPr>
        <w:t xml:space="preserve">         4 adet 25 kg’lık karbondioksit gazı</w:t>
      </w:r>
      <w:r>
        <w:rPr>
          <w:szCs w:val="24"/>
        </w:rPr>
        <w:t xml:space="preserve"> </w:t>
      </w:r>
      <w:r w:rsidRPr="00BF6B68">
        <w:rPr>
          <w:szCs w:val="24"/>
        </w:rPr>
        <w:t>(co2) dolumu yapılacaktır.</w:t>
      </w:r>
    </w:p>
    <w:p w:rsidR="003C3C48" w:rsidRPr="004122DD" w:rsidRDefault="003C3C48" w:rsidP="003C3C48">
      <w:pPr>
        <w:jc w:val="both"/>
        <w:rPr>
          <w:b/>
          <w:sz w:val="20"/>
        </w:rPr>
      </w:pPr>
    </w:p>
    <w:p w:rsidR="003C3C48" w:rsidRPr="004122DD" w:rsidRDefault="003C3C48" w:rsidP="003C3C48">
      <w:pPr>
        <w:tabs>
          <w:tab w:val="left" w:pos="6390"/>
        </w:tabs>
        <w:rPr>
          <w:b/>
        </w:rPr>
      </w:pPr>
      <w:r w:rsidRPr="004122DD">
        <w:rPr>
          <w:b/>
        </w:rPr>
        <w:t>GENEL ŞARTNAME</w:t>
      </w:r>
    </w:p>
    <w:p w:rsidR="003C3C48" w:rsidRPr="00881542" w:rsidRDefault="003C3C48" w:rsidP="003C3C48">
      <w:pPr>
        <w:tabs>
          <w:tab w:val="left" w:pos="6390"/>
        </w:tabs>
      </w:pPr>
      <w:r>
        <w:t xml:space="preserve">         </w:t>
      </w:r>
      <w:r w:rsidRPr="00881542">
        <w:t xml:space="preserve">  1-Teklifler </w:t>
      </w:r>
      <w:hyperlink r:id="rId7" w:history="1">
        <w:r w:rsidRPr="00881542">
          <w:rPr>
            <w:color w:val="0000FF"/>
            <w:u w:val="single"/>
          </w:rPr>
          <w:t>tip@usak.edu.tr</w:t>
        </w:r>
      </w:hyperlink>
      <w:r w:rsidRPr="00881542">
        <w:t xml:space="preserve"> adresine gönderilecektir.</w:t>
      </w:r>
    </w:p>
    <w:p w:rsidR="003C3C48" w:rsidRPr="00881542" w:rsidRDefault="003C3C48" w:rsidP="003C3C48">
      <w:pPr>
        <w:tabs>
          <w:tab w:val="left" w:pos="6390"/>
        </w:tabs>
      </w:pPr>
      <w:r w:rsidRPr="00881542">
        <w:t xml:space="preserve">           2-Teklifler kalem bazında değerlendirilecektir.</w:t>
      </w:r>
    </w:p>
    <w:p w:rsidR="003C3C48" w:rsidRPr="00881542" w:rsidRDefault="003C3C48" w:rsidP="003C3C48">
      <w:pPr>
        <w:tabs>
          <w:tab w:val="left" w:pos="6390"/>
        </w:tabs>
      </w:pPr>
      <w:r w:rsidRPr="00881542">
        <w:t xml:space="preserve">           3-Teklifler Türk Lirası üzerinden ve KDV hariç verilecektir.</w:t>
      </w:r>
    </w:p>
    <w:p w:rsidR="003C3C48" w:rsidRDefault="003C3C48" w:rsidP="003C3C48">
      <w:pPr>
        <w:tabs>
          <w:tab w:val="left" w:pos="6390"/>
        </w:tabs>
      </w:pPr>
      <w:r w:rsidRPr="00881542">
        <w:t xml:space="preserve">           4-</w:t>
      </w:r>
      <w:r w:rsidRPr="004D3870">
        <w:t xml:space="preserve"> Dolum yapılacak tanklar Kurumumuzdan teslim alınıp doldurularak</w:t>
      </w:r>
      <w:r>
        <w:t xml:space="preserve"> 01.04.2024 tarihine kadar</w:t>
      </w:r>
      <w:r w:rsidRPr="004D3870">
        <w:t xml:space="preserve"> Kurumumuza teslimi yapılacaktır.</w:t>
      </w:r>
      <w:r>
        <w:t xml:space="preserve">           </w:t>
      </w:r>
    </w:p>
    <w:p w:rsidR="003C3C48" w:rsidRPr="00881542" w:rsidRDefault="003C3C48" w:rsidP="003C3C48">
      <w:pPr>
        <w:tabs>
          <w:tab w:val="left" w:pos="6390"/>
        </w:tabs>
      </w:pPr>
      <w:r>
        <w:t xml:space="preserve">           5- </w:t>
      </w:r>
      <w:r w:rsidRPr="004D3870">
        <w:t>Nakliye gibi ilave ödemeler teklife dahil edilecektir. Ayrı bir kalem olarak gösterilmeyecektir.</w:t>
      </w:r>
    </w:p>
    <w:p w:rsidR="003C3C48" w:rsidRPr="00881542" w:rsidRDefault="003C3C48" w:rsidP="003C3C48">
      <w:pPr>
        <w:tabs>
          <w:tab w:val="left" w:pos="6390"/>
        </w:tabs>
      </w:pPr>
      <w:r w:rsidRPr="00881542">
        <w:t xml:space="preserve">           </w:t>
      </w:r>
      <w:r>
        <w:t>6</w:t>
      </w:r>
      <w:r w:rsidRPr="00881542">
        <w:t>- Muayene ve/veya kabul esnasında teknik şartnameye uymadığı tespit edilen mal veya hizmetler alınmayacaktır.</w:t>
      </w:r>
    </w:p>
    <w:p w:rsidR="003C3C48" w:rsidRDefault="003C3C48" w:rsidP="003C3C48">
      <w:pPr>
        <w:tabs>
          <w:tab w:val="left" w:pos="6390"/>
        </w:tabs>
      </w:pPr>
      <w:r w:rsidRPr="00881542">
        <w:t xml:space="preserve">           </w:t>
      </w:r>
      <w:r>
        <w:t>7</w:t>
      </w:r>
      <w:r w:rsidRPr="00881542">
        <w:t>-Üniversitemiz e- fatura mükellefidir. Kazanan firma/firmalardan e- fatura mükellefi olanlar faturalarını e-fatura olarak kesecektir.</w:t>
      </w:r>
    </w:p>
    <w:p w:rsidR="003C3C48" w:rsidRPr="003C3C48" w:rsidRDefault="003C3C48" w:rsidP="003C3C48">
      <w:pPr>
        <w:tabs>
          <w:tab w:val="left" w:pos="6390"/>
        </w:tabs>
      </w:pPr>
      <w:r>
        <w:t xml:space="preserve">          </w:t>
      </w:r>
    </w:p>
    <w:p w:rsidR="003C3C48" w:rsidRPr="003C3C48" w:rsidRDefault="003C3C48" w:rsidP="003C3C48">
      <w:pPr>
        <w:overflowPunct/>
        <w:autoSpaceDE/>
        <w:autoSpaceDN/>
        <w:adjustRightInd/>
        <w:spacing w:after="160" w:line="259" w:lineRule="auto"/>
        <w:jc w:val="center"/>
        <w:textAlignment w:val="auto"/>
        <w:rPr>
          <w:rFonts w:ascii="Calibri" w:eastAsia="Calibri" w:hAnsi="Calibri"/>
          <w:b/>
          <w:bCs/>
          <w:kern w:val="2"/>
          <w:sz w:val="28"/>
          <w:szCs w:val="28"/>
          <w:lang w:eastAsia="en-US"/>
        </w:rPr>
      </w:pPr>
      <w:r w:rsidRPr="003C3C48">
        <w:rPr>
          <w:rFonts w:ascii="Calibri" w:eastAsia="Calibri" w:hAnsi="Calibri"/>
          <w:b/>
          <w:bCs/>
          <w:kern w:val="2"/>
          <w:sz w:val="28"/>
          <w:szCs w:val="28"/>
          <w:lang w:eastAsia="en-US"/>
        </w:rPr>
        <w:lastRenderedPageBreak/>
        <w:t>SIVI AZOT TEKNİK ŞARTNAME</w:t>
      </w:r>
    </w:p>
    <w:p w:rsidR="003C3C48" w:rsidRPr="003C3C48" w:rsidRDefault="003C3C48" w:rsidP="003C3C48">
      <w:pPr>
        <w:overflowPunct/>
        <w:autoSpaceDE/>
        <w:autoSpaceDN/>
        <w:adjustRightInd/>
        <w:spacing w:after="160" w:line="259" w:lineRule="auto"/>
        <w:textAlignment w:val="auto"/>
        <w:rPr>
          <w:rFonts w:ascii="Calibri" w:eastAsia="Calibri" w:hAnsi="Calibri"/>
          <w:kern w:val="2"/>
          <w:szCs w:val="24"/>
          <w:lang w:eastAsia="en-US"/>
        </w:rPr>
      </w:pPr>
      <w:r w:rsidRPr="003C3C48">
        <w:rPr>
          <w:rFonts w:ascii="Calibri" w:eastAsia="Calibri" w:hAnsi="Calibri"/>
          <w:kern w:val="2"/>
          <w:szCs w:val="24"/>
          <w:lang w:eastAsia="en-US"/>
        </w:rPr>
        <w:t>1-Sıvı azot renksiz, kokusuz, tatsız olmalıdır.</w:t>
      </w:r>
    </w:p>
    <w:p w:rsidR="003C3C48" w:rsidRPr="003C3C48" w:rsidRDefault="003C3C48" w:rsidP="003C3C48">
      <w:pPr>
        <w:overflowPunct/>
        <w:autoSpaceDE/>
        <w:autoSpaceDN/>
        <w:adjustRightInd/>
        <w:spacing w:after="160" w:line="259" w:lineRule="auto"/>
        <w:textAlignment w:val="auto"/>
        <w:rPr>
          <w:rFonts w:ascii="Calibri" w:eastAsia="Calibri" w:hAnsi="Calibri"/>
          <w:kern w:val="2"/>
          <w:szCs w:val="24"/>
          <w:lang w:eastAsia="en-US"/>
        </w:rPr>
      </w:pPr>
      <w:r w:rsidRPr="003C3C48">
        <w:rPr>
          <w:rFonts w:ascii="Calibri" w:eastAsia="Calibri" w:hAnsi="Calibri"/>
          <w:kern w:val="2"/>
          <w:szCs w:val="24"/>
          <w:lang w:eastAsia="en-US"/>
        </w:rPr>
        <w:t>2-Sıvı azotun (%99,5) oranında saflık yüzdesi olmalı ve yüklenici firma tarafından taahhüt edilmelidir.</w:t>
      </w:r>
    </w:p>
    <w:p w:rsidR="003C3C48" w:rsidRPr="003C3C48" w:rsidRDefault="003C3C48" w:rsidP="003C3C48">
      <w:pPr>
        <w:overflowPunct/>
        <w:autoSpaceDE/>
        <w:autoSpaceDN/>
        <w:adjustRightInd/>
        <w:spacing w:after="160" w:line="259" w:lineRule="auto"/>
        <w:textAlignment w:val="auto"/>
        <w:rPr>
          <w:rFonts w:ascii="Calibri" w:eastAsia="Calibri" w:hAnsi="Calibri"/>
          <w:kern w:val="2"/>
          <w:szCs w:val="24"/>
          <w:lang w:eastAsia="en-US"/>
        </w:rPr>
      </w:pPr>
      <w:r w:rsidRPr="003C3C48">
        <w:rPr>
          <w:rFonts w:ascii="Calibri" w:eastAsia="Calibri" w:hAnsi="Calibri"/>
          <w:kern w:val="2"/>
          <w:szCs w:val="24"/>
          <w:lang w:eastAsia="en-US"/>
        </w:rPr>
        <w:t>3-Asetilen gazı (%99,9) oranında saflık yüzdesi olmalı ve yüklenici firma tarafından taahhüt edilmelidir.</w:t>
      </w:r>
    </w:p>
    <w:p w:rsidR="003C3C48" w:rsidRPr="003C3C48" w:rsidRDefault="003C3C48" w:rsidP="003C3C48">
      <w:pPr>
        <w:overflowPunct/>
        <w:autoSpaceDE/>
        <w:autoSpaceDN/>
        <w:adjustRightInd/>
        <w:spacing w:after="160" w:line="259" w:lineRule="auto"/>
        <w:textAlignment w:val="auto"/>
        <w:rPr>
          <w:rFonts w:ascii="Calibri" w:eastAsia="Calibri" w:hAnsi="Calibri"/>
          <w:kern w:val="2"/>
          <w:szCs w:val="24"/>
          <w:lang w:eastAsia="en-US"/>
        </w:rPr>
      </w:pPr>
      <w:r w:rsidRPr="003C3C48">
        <w:rPr>
          <w:rFonts w:ascii="Calibri" w:eastAsia="Calibri" w:hAnsi="Calibri"/>
          <w:kern w:val="2"/>
          <w:szCs w:val="24"/>
          <w:lang w:eastAsia="en-US"/>
        </w:rPr>
        <w:t>4-Argon gazı (%99,999) oranında saflık yüzdesi olmalı ve yüklenici firma tarafından taahhüt edilmelidir.</w:t>
      </w:r>
    </w:p>
    <w:p w:rsidR="003C3C48" w:rsidRPr="003C3C48" w:rsidRDefault="003C3C48" w:rsidP="003C3C48">
      <w:pPr>
        <w:overflowPunct/>
        <w:autoSpaceDE/>
        <w:autoSpaceDN/>
        <w:adjustRightInd/>
        <w:spacing w:after="160" w:line="259" w:lineRule="auto"/>
        <w:textAlignment w:val="auto"/>
        <w:rPr>
          <w:rFonts w:ascii="Calibri" w:eastAsia="Calibri" w:hAnsi="Calibri"/>
          <w:kern w:val="2"/>
          <w:szCs w:val="24"/>
          <w:lang w:eastAsia="en-US"/>
        </w:rPr>
      </w:pPr>
      <w:r w:rsidRPr="003C3C48">
        <w:rPr>
          <w:rFonts w:ascii="Calibri" w:eastAsia="Calibri" w:hAnsi="Calibri"/>
          <w:kern w:val="2"/>
          <w:szCs w:val="24"/>
          <w:lang w:eastAsia="en-US"/>
        </w:rPr>
        <w:t>5-Yüksek saflıkta Helyum (Grade 6) (%99,999) oranında saflık yüzdesi olmalı ve yüklenici firma tarafından taahhüt edilmelidir.</w:t>
      </w:r>
    </w:p>
    <w:p w:rsidR="003C3C48" w:rsidRPr="003C3C48" w:rsidRDefault="003C3C48" w:rsidP="003C3C48">
      <w:pPr>
        <w:overflowPunct/>
        <w:autoSpaceDE/>
        <w:autoSpaceDN/>
        <w:adjustRightInd/>
        <w:spacing w:after="160" w:line="259" w:lineRule="auto"/>
        <w:textAlignment w:val="auto"/>
        <w:rPr>
          <w:rFonts w:ascii="Calibri" w:eastAsia="Calibri" w:hAnsi="Calibri"/>
          <w:kern w:val="2"/>
          <w:szCs w:val="24"/>
          <w:lang w:eastAsia="en-US"/>
        </w:rPr>
      </w:pPr>
    </w:p>
    <w:p w:rsidR="003C3C48" w:rsidRPr="003C3C48" w:rsidRDefault="003C3C48" w:rsidP="003C3C48">
      <w:pPr>
        <w:overflowPunct/>
        <w:autoSpaceDE/>
        <w:autoSpaceDN/>
        <w:adjustRightInd/>
        <w:spacing w:after="160" w:line="259" w:lineRule="auto"/>
        <w:textAlignment w:val="auto"/>
        <w:rPr>
          <w:rFonts w:ascii="Calibri" w:eastAsia="Calibri" w:hAnsi="Calibri"/>
          <w:b/>
          <w:bCs/>
          <w:kern w:val="2"/>
          <w:szCs w:val="24"/>
          <w:lang w:eastAsia="en-US"/>
        </w:rPr>
      </w:pPr>
      <w:r w:rsidRPr="003C3C48">
        <w:rPr>
          <w:rFonts w:ascii="Calibri" w:eastAsia="Calibri" w:hAnsi="Calibri"/>
          <w:b/>
          <w:bCs/>
          <w:kern w:val="2"/>
          <w:szCs w:val="24"/>
          <w:lang w:eastAsia="en-US"/>
        </w:rPr>
        <w:t>SIVI AZOT TEMİNİ İÇİN DOLUM PLANI VE NAKLİYE İLE İLGİLİ ÖZELLİKLER</w:t>
      </w:r>
    </w:p>
    <w:p w:rsidR="003C3C48" w:rsidRPr="003C3C48" w:rsidRDefault="003C3C48" w:rsidP="003C3C48">
      <w:pPr>
        <w:numPr>
          <w:ilvl w:val="0"/>
          <w:numId w:val="12"/>
        </w:numPr>
        <w:overflowPunct/>
        <w:autoSpaceDE/>
        <w:autoSpaceDN/>
        <w:adjustRightInd/>
        <w:spacing w:after="160" w:line="360" w:lineRule="auto"/>
        <w:contextualSpacing/>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Birimimizin talebi doğrultusunda istenilen zamanda dolum yapılacaktır.</w:t>
      </w:r>
    </w:p>
    <w:p w:rsidR="003C3C48" w:rsidRPr="003C3C48" w:rsidRDefault="003C3C48" w:rsidP="003C3C48">
      <w:pPr>
        <w:numPr>
          <w:ilvl w:val="0"/>
          <w:numId w:val="12"/>
        </w:numPr>
        <w:overflowPunct/>
        <w:autoSpaceDE/>
        <w:autoSpaceDN/>
        <w:adjustRightInd/>
        <w:spacing w:after="160" w:line="360" w:lineRule="auto"/>
        <w:contextualSpacing/>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Sıvı azot dolum sırasında yüklenici firma tarafından kaynaklanman problemlerden dolayı sıvı azot bağlantı noktaları ve tankında zarar ortaya çıkarsa arızalanan parçaların yenisi ile değişimi ve montajı yüklenici firma tarafından karşılanacaktır.</w:t>
      </w:r>
    </w:p>
    <w:p w:rsidR="003C3C48" w:rsidRPr="003C3C48" w:rsidRDefault="003C3C48" w:rsidP="003C3C48">
      <w:pPr>
        <w:numPr>
          <w:ilvl w:val="0"/>
          <w:numId w:val="12"/>
        </w:numPr>
        <w:overflowPunct/>
        <w:autoSpaceDE/>
        <w:autoSpaceDN/>
        <w:adjustRightInd/>
        <w:spacing w:after="160" w:line="360" w:lineRule="auto"/>
        <w:contextualSpacing/>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Temin edilen sıvı azot kaynağı firma uygunluk belgesi ile ispat edilmelidir.</w:t>
      </w:r>
    </w:p>
    <w:p w:rsidR="003C3C48" w:rsidRPr="003C3C48" w:rsidRDefault="003C3C48" w:rsidP="003C3C48">
      <w:pPr>
        <w:numPr>
          <w:ilvl w:val="0"/>
          <w:numId w:val="12"/>
        </w:numPr>
        <w:overflowPunct/>
        <w:autoSpaceDE/>
        <w:autoSpaceDN/>
        <w:adjustRightInd/>
        <w:spacing w:after="160" w:line="360" w:lineRule="auto"/>
        <w:contextualSpacing/>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Yüklenici firma sıvı azotun transferini kendi devir tankı ile yapacaktır.</w:t>
      </w:r>
    </w:p>
    <w:p w:rsidR="003C3C48" w:rsidRPr="003C3C48" w:rsidRDefault="003C3C48" w:rsidP="003C3C48">
      <w:pPr>
        <w:numPr>
          <w:ilvl w:val="0"/>
          <w:numId w:val="12"/>
        </w:numPr>
        <w:overflowPunct/>
        <w:autoSpaceDE/>
        <w:autoSpaceDN/>
        <w:adjustRightInd/>
        <w:spacing w:after="160" w:line="360" w:lineRule="auto"/>
        <w:contextualSpacing/>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Zorunlu olduğu durumlarda cumartesi günü dolum yapılabilmelidir.</w:t>
      </w:r>
    </w:p>
    <w:p w:rsidR="003C3C48" w:rsidRPr="003C3C48" w:rsidRDefault="003C3C48" w:rsidP="003C3C48">
      <w:pPr>
        <w:overflowPunct/>
        <w:autoSpaceDE/>
        <w:autoSpaceDN/>
        <w:adjustRightInd/>
        <w:spacing w:after="160" w:line="259" w:lineRule="auto"/>
        <w:textAlignment w:val="auto"/>
        <w:rPr>
          <w:rFonts w:ascii="Calibri" w:eastAsia="Calibri" w:hAnsi="Calibri"/>
          <w:b/>
          <w:kern w:val="2"/>
          <w:szCs w:val="24"/>
          <w:lang w:eastAsia="en-US"/>
        </w:rPr>
      </w:pPr>
      <w:r w:rsidRPr="003C3C48">
        <w:rPr>
          <w:rFonts w:ascii="Calibri" w:eastAsia="Calibri" w:hAnsi="Calibri"/>
          <w:b/>
          <w:kern w:val="2"/>
          <w:szCs w:val="24"/>
          <w:lang w:eastAsia="en-US"/>
        </w:rPr>
        <w:t>İSTENİLECEK BELGELER</w:t>
      </w:r>
    </w:p>
    <w:p w:rsidR="003C3C48" w:rsidRPr="003C3C48" w:rsidRDefault="003C3C48" w:rsidP="003C3C48">
      <w:pPr>
        <w:numPr>
          <w:ilvl w:val="0"/>
          <w:numId w:val="13"/>
        </w:numPr>
        <w:overflowPunct/>
        <w:autoSpaceDE/>
        <w:autoSpaceDN/>
        <w:adjustRightInd/>
        <w:spacing w:after="160" w:line="259" w:lineRule="auto"/>
        <w:contextualSpacing/>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Yüklenici firma Sağlık Bakanlığı’ndan verilen medikal amaçlı gaz üretme ve dolum izin belgelerine sahip olmalı ve bunu ihale komisyonuna ibraz edecek</w:t>
      </w:r>
    </w:p>
    <w:p w:rsidR="003C3C48" w:rsidRPr="003C3C48" w:rsidRDefault="003C3C48" w:rsidP="003C3C48">
      <w:pPr>
        <w:overflowPunct/>
        <w:autoSpaceDE/>
        <w:autoSpaceDN/>
        <w:adjustRightInd/>
        <w:spacing w:after="160" w:line="259" w:lineRule="auto"/>
        <w:ind w:left="720"/>
        <w:contextualSpacing/>
        <w:jc w:val="both"/>
        <w:textAlignment w:val="auto"/>
        <w:rPr>
          <w:rFonts w:ascii="Calibri" w:eastAsia="Calibri" w:hAnsi="Calibri"/>
          <w:kern w:val="2"/>
          <w:szCs w:val="24"/>
          <w:lang w:eastAsia="en-US"/>
        </w:rPr>
      </w:pPr>
    </w:p>
    <w:p w:rsidR="003C3C48" w:rsidRPr="003C3C48" w:rsidRDefault="003C3C48" w:rsidP="003C3C48">
      <w:pPr>
        <w:numPr>
          <w:ilvl w:val="0"/>
          <w:numId w:val="13"/>
        </w:numPr>
        <w:overflowPunct/>
        <w:autoSpaceDE/>
        <w:autoSpaceDN/>
        <w:adjustRightInd/>
        <w:spacing w:after="160" w:line="259" w:lineRule="auto"/>
        <w:contextualSpacing/>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Yüklenici firma medikal amaçlı gaz üretiminde yasal zorunluluk olan ve Sağlık Bakanlığı tarafından verilmiş bulunan Mesul Müdürlük belgesini ihale komisyonuna ibraz edecek</w:t>
      </w:r>
    </w:p>
    <w:p w:rsidR="003C3C48" w:rsidRPr="003C3C48" w:rsidRDefault="003C3C48" w:rsidP="003C3C48">
      <w:pPr>
        <w:overflowPunct/>
        <w:autoSpaceDE/>
        <w:autoSpaceDN/>
        <w:adjustRightInd/>
        <w:spacing w:after="160" w:line="259" w:lineRule="auto"/>
        <w:ind w:left="720"/>
        <w:contextualSpacing/>
        <w:jc w:val="both"/>
        <w:textAlignment w:val="auto"/>
        <w:rPr>
          <w:rFonts w:ascii="Calibri" w:eastAsia="Calibri" w:hAnsi="Calibri"/>
          <w:kern w:val="2"/>
          <w:szCs w:val="24"/>
          <w:lang w:eastAsia="en-US"/>
        </w:rPr>
      </w:pPr>
    </w:p>
    <w:p w:rsidR="003C3C48" w:rsidRPr="003C3C48" w:rsidRDefault="003C3C48" w:rsidP="003C3C48">
      <w:pPr>
        <w:numPr>
          <w:ilvl w:val="0"/>
          <w:numId w:val="13"/>
        </w:numPr>
        <w:overflowPunct/>
        <w:autoSpaceDE/>
        <w:autoSpaceDN/>
        <w:adjustRightInd/>
        <w:spacing w:after="160" w:line="259" w:lineRule="auto"/>
        <w:contextualSpacing/>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Yüklenici firma “Sınai ve Tıbbi gazların üretimi, satışı, pazarlaması ve dağıtımı” faaliyetlerine yönelik olarak ISO 9001:2000 Kalite Yönetim Sistemi Belgesine sahip olacak, belgeyi ibraz edecek</w:t>
      </w:r>
    </w:p>
    <w:p w:rsidR="003C3C48" w:rsidRPr="003C3C48" w:rsidRDefault="003C3C48" w:rsidP="003C3C48">
      <w:pPr>
        <w:overflowPunct/>
        <w:autoSpaceDE/>
        <w:autoSpaceDN/>
        <w:adjustRightInd/>
        <w:spacing w:after="160" w:line="259" w:lineRule="auto"/>
        <w:ind w:left="720"/>
        <w:contextualSpacing/>
        <w:textAlignment w:val="auto"/>
        <w:rPr>
          <w:rFonts w:ascii="Calibri" w:eastAsia="Calibri" w:hAnsi="Calibri"/>
          <w:kern w:val="2"/>
          <w:szCs w:val="24"/>
          <w:lang w:eastAsia="en-US"/>
        </w:rPr>
      </w:pPr>
    </w:p>
    <w:p w:rsidR="003C3C48" w:rsidRPr="003C3C48" w:rsidRDefault="003C3C48" w:rsidP="003C3C48">
      <w:pPr>
        <w:numPr>
          <w:ilvl w:val="0"/>
          <w:numId w:val="13"/>
        </w:numPr>
        <w:overflowPunct/>
        <w:autoSpaceDE/>
        <w:autoSpaceDN/>
        <w:adjustRightInd/>
        <w:spacing w:after="160" w:line="259" w:lineRule="auto"/>
        <w:contextualSpacing/>
        <w:jc w:val="both"/>
        <w:textAlignment w:val="auto"/>
        <w:rPr>
          <w:rFonts w:ascii="Calibri" w:eastAsia="Calibri" w:hAnsi="Calibri"/>
          <w:kern w:val="2"/>
          <w:szCs w:val="24"/>
          <w:lang w:eastAsia="en-US"/>
        </w:rPr>
      </w:pPr>
      <w:r w:rsidRPr="003C3C48">
        <w:rPr>
          <w:rFonts w:ascii="Calibri" w:eastAsia="Calibri" w:hAnsi="Calibri"/>
          <w:b/>
          <w:bCs/>
          <w:kern w:val="2"/>
          <w:szCs w:val="24"/>
          <w:lang w:eastAsia="en-US"/>
        </w:rPr>
        <w:t>Sıvı azot gazı için :</w:t>
      </w:r>
      <w:r w:rsidRPr="003C3C48">
        <w:rPr>
          <w:rFonts w:ascii="Calibri" w:eastAsia="Calibri" w:hAnsi="Calibri"/>
          <w:kern w:val="2"/>
          <w:szCs w:val="24"/>
          <w:lang w:eastAsia="en-US"/>
        </w:rPr>
        <w:t xml:space="preserve"> TS3192 Standardına yönelik TSE kalite uygunluk belgesine sahip olacak ve ibraz edilecektir.</w:t>
      </w:r>
    </w:p>
    <w:p w:rsidR="003C3C48" w:rsidRPr="003C3C48" w:rsidRDefault="003C3C48" w:rsidP="003C3C48">
      <w:pPr>
        <w:overflowPunct/>
        <w:autoSpaceDE/>
        <w:autoSpaceDN/>
        <w:adjustRightInd/>
        <w:spacing w:after="160" w:line="259" w:lineRule="auto"/>
        <w:ind w:left="720"/>
        <w:contextualSpacing/>
        <w:textAlignment w:val="auto"/>
        <w:rPr>
          <w:rFonts w:ascii="Calibri" w:eastAsia="Calibri" w:hAnsi="Calibri"/>
          <w:kern w:val="2"/>
          <w:szCs w:val="24"/>
          <w:lang w:eastAsia="en-US"/>
        </w:rPr>
      </w:pPr>
    </w:p>
    <w:p w:rsidR="003C3C48" w:rsidRPr="003C3C48" w:rsidRDefault="003C3C48" w:rsidP="003C3C48">
      <w:pPr>
        <w:numPr>
          <w:ilvl w:val="0"/>
          <w:numId w:val="13"/>
        </w:numPr>
        <w:overflowPunct/>
        <w:autoSpaceDE/>
        <w:autoSpaceDN/>
        <w:adjustRightInd/>
        <w:spacing w:after="160" w:line="259" w:lineRule="auto"/>
        <w:contextualSpacing/>
        <w:jc w:val="both"/>
        <w:textAlignment w:val="auto"/>
        <w:rPr>
          <w:rFonts w:ascii="Calibri" w:eastAsia="Calibri" w:hAnsi="Calibri"/>
          <w:kern w:val="2"/>
          <w:szCs w:val="24"/>
          <w:lang w:eastAsia="en-US"/>
        </w:rPr>
      </w:pPr>
      <w:r w:rsidRPr="003C3C48">
        <w:rPr>
          <w:rFonts w:ascii="Calibri" w:eastAsia="Calibri" w:hAnsi="Calibri"/>
          <w:b/>
          <w:bCs/>
          <w:kern w:val="2"/>
          <w:szCs w:val="24"/>
          <w:lang w:eastAsia="en-US"/>
        </w:rPr>
        <w:t>Yüksek saflıkta sıvı azot gazı için:</w:t>
      </w:r>
      <w:r w:rsidRPr="003C3C48">
        <w:rPr>
          <w:rFonts w:ascii="Calibri" w:eastAsia="Calibri" w:hAnsi="Calibri"/>
          <w:kern w:val="2"/>
          <w:szCs w:val="24"/>
          <w:lang w:eastAsia="en-US"/>
        </w:rPr>
        <w:t xml:space="preserve"> TS9640 Standardına yönelik TSE kalite uygunluk belgesine sahip olacak ve ibraz edilecektir.</w:t>
      </w:r>
    </w:p>
    <w:p w:rsidR="003C3C48" w:rsidRPr="003C3C48" w:rsidRDefault="003C3C48" w:rsidP="003C3C48">
      <w:pPr>
        <w:overflowPunct/>
        <w:autoSpaceDE/>
        <w:autoSpaceDN/>
        <w:adjustRightInd/>
        <w:spacing w:after="160" w:line="259" w:lineRule="auto"/>
        <w:ind w:left="720"/>
        <w:contextualSpacing/>
        <w:textAlignment w:val="auto"/>
        <w:rPr>
          <w:rFonts w:ascii="Calibri" w:eastAsia="Calibri" w:hAnsi="Calibri"/>
          <w:kern w:val="2"/>
          <w:szCs w:val="24"/>
          <w:lang w:eastAsia="en-US"/>
        </w:rPr>
      </w:pPr>
    </w:p>
    <w:p w:rsidR="003C3C48" w:rsidRPr="003C3C48" w:rsidRDefault="003C3C48" w:rsidP="003C3C48">
      <w:pPr>
        <w:numPr>
          <w:ilvl w:val="0"/>
          <w:numId w:val="13"/>
        </w:numPr>
        <w:overflowPunct/>
        <w:autoSpaceDE/>
        <w:autoSpaceDN/>
        <w:adjustRightInd/>
        <w:spacing w:after="160" w:line="259" w:lineRule="auto"/>
        <w:contextualSpacing/>
        <w:jc w:val="both"/>
        <w:textAlignment w:val="auto"/>
        <w:rPr>
          <w:rFonts w:ascii="Calibri" w:eastAsia="Calibri" w:hAnsi="Calibri"/>
          <w:kern w:val="2"/>
          <w:szCs w:val="24"/>
          <w:lang w:eastAsia="en-US"/>
        </w:rPr>
      </w:pPr>
      <w:r w:rsidRPr="003C3C48">
        <w:rPr>
          <w:rFonts w:ascii="Calibri" w:eastAsia="Calibri" w:hAnsi="Calibri"/>
          <w:b/>
          <w:bCs/>
          <w:kern w:val="2"/>
          <w:szCs w:val="24"/>
          <w:lang w:eastAsia="en-US"/>
        </w:rPr>
        <w:lastRenderedPageBreak/>
        <w:t>Asetilen gazı için</w:t>
      </w:r>
      <w:r w:rsidRPr="003C3C48">
        <w:rPr>
          <w:rFonts w:ascii="Calibri" w:eastAsia="Calibri" w:hAnsi="Calibri"/>
          <w:kern w:val="2"/>
          <w:szCs w:val="24"/>
          <w:lang w:eastAsia="en-US"/>
        </w:rPr>
        <w:t xml:space="preserve"> :TS9675 “asetilen- çözünmüş halde bulunan” Standardına yönelik TSE kalite uygunluk belgesine sahip olacak ve ibraz edilecektir.</w:t>
      </w:r>
    </w:p>
    <w:p w:rsidR="003C3C48" w:rsidRPr="003C3C48" w:rsidRDefault="003C3C48" w:rsidP="003C3C48">
      <w:pPr>
        <w:overflowPunct/>
        <w:autoSpaceDE/>
        <w:autoSpaceDN/>
        <w:adjustRightInd/>
        <w:spacing w:after="160" w:line="259" w:lineRule="auto"/>
        <w:ind w:left="720"/>
        <w:contextualSpacing/>
        <w:textAlignment w:val="auto"/>
        <w:rPr>
          <w:rFonts w:ascii="Calibri" w:eastAsia="Calibri" w:hAnsi="Calibri"/>
          <w:kern w:val="2"/>
          <w:szCs w:val="24"/>
          <w:lang w:eastAsia="en-US"/>
        </w:rPr>
      </w:pPr>
    </w:p>
    <w:p w:rsidR="003C3C48" w:rsidRPr="003C3C48" w:rsidRDefault="003C3C48" w:rsidP="003C3C48">
      <w:pPr>
        <w:overflowPunct/>
        <w:autoSpaceDE/>
        <w:autoSpaceDN/>
        <w:adjustRightInd/>
        <w:spacing w:after="160" w:line="259" w:lineRule="auto"/>
        <w:jc w:val="center"/>
        <w:textAlignment w:val="auto"/>
        <w:rPr>
          <w:rFonts w:ascii="Calibri" w:eastAsia="Calibri" w:hAnsi="Calibri"/>
          <w:kern w:val="2"/>
          <w:szCs w:val="24"/>
          <w:lang w:eastAsia="en-US"/>
        </w:rPr>
      </w:pPr>
      <w:r w:rsidRPr="003C3C48">
        <w:rPr>
          <w:rFonts w:ascii="Calibri" w:eastAsia="Calibri" w:hAnsi="Calibri"/>
          <w:b/>
          <w:bCs/>
          <w:kern w:val="2"/>
          <w:sz w:val="28"/>
          <w:szCs w:val="28"/>
          <w:lang w:eastAsia="en-US"/>
        </w:rPr>
        <w:t>KARBONDİOKSİT GAZI (CO2) TEKNİK ŞARTNAMESİ</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1. Karbondioksit gazının saflığı (hacimce en az % 99,0 safiyette) TSE standart ve normlarına uygun olmalıdır.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2. Gazın bulunduğu tüp basınçlı olmalı ve basınç gösterge panelini bağlamaya uygun çıkışı olmalıdır.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3. Karbondioksit gazı miktarı 106 L olmalıdır.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4. Karbondioksit tüpünün üzerinde gazın cinsini, dolum tarihini ve dolum parti numarasını belirten etiketler bulunacak, üretici firma adı, test basıncı, son test tarihi açık bir şekilde yazılı olacaktır.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5. Laboratuvarımıza ait karbondioksit tüpünün eskiyen, aşınan ve kullanılmaz hale gelen ventil, kelebek, rot vb. gibi ekipmanların temini ve değiştirme işlemini, boyaları eskiyen tüplerin boyanması, test zamanı gelmiş tüplerin gerekli testlerinin yapılması işlemini firma bedelsiz üstlenecektir.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6. Tüp contaları yüklenici firma tarafından temin edilecektir.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7. Gazın bulunduğu tüpler çelik çekme ve dikişsiz (kaynaksız) olmalıdır.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8. Karbondioksit doldurulmuş tüplerin nakliyesi yüklenici firma tarafından yapılacak ve bunun için herhangi bir ücret talep etmeyecektir.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9. Regülatör, stabil çıkış basıncı gerektiren yüksek kaliteli kesim ve laboratuvar uygulamalarına uygun olmalıdır.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10. Regülatör ürün ömrünü arttıran paslanmaz filtre içermelidir.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11. Regülatör, pirinç kapak ve gövde tasarımına sahip olmalıdır.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12. Ø 63 mm Manometreler içermelidir.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13. Tüm tüp korumalarına uygun tasarlanmış tüp bağlantısı bulunmalıdır.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14. Regülatör, Ø6 - Ø8 mm hortumlara uygun bağlantı rakoru içermelidir.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15. Teklif edilen cihaz için üretim ve fabrikasyon hatalarına karşı ücretsiz 2 yıl, ücreti mükabilinde 10 yıl yedek parça ve servis garantisi verebilmelidir.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16. Firmalara teknik şartnamemizde istenilen maddelere uygun ürün teklif etmek zorundadır. Uygun olmadığı anlaşılan veya firmalara tarafından muhadil ürün gibi teklif edilen ürünler sipariş teslim edilse dahi iade edilecektir.</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 xml:space="preserve">17. Şartnameye uygunluk belgesinde verilen cevaplar isteklinin teklif etmiş olduğu cihaza veya sarf malzemeye ait orijinal belge veya prospektüs veya katalog veya kullanım kılavuzu veya </w:t>
      </w:r>
      <w:r w:rsidRPr="003C3C48">
        <w:rPr>
          <w:rFonts w:ascii="Calibri" w:eastAsia="Calibri" w:hAnsi="Calibri"/>
          <w:kern w:val="2"/>
          <w:szCs w:val="24"/>
          <w:lang w:eastAsia="en-US"/>
        </w:rPr>
        <w:lastRenderedPageBreak/>
        <w:t xml:space="preserve">benzeri belgelerin hangi sayfasında olduğu şartnameye uygunluk belgesinde yazılacak veya katalog üzerinde teknik özellikler madde madde işaretlenecektir. </w:t>
      </w:r>
    </w:p>
    <w:p w:rsidR="003C3C48" w:rsidRPr="003C3C48" w:rsidRDefault="003C3C48" w:rsidP="003C3C48">
      <w:pPr>
        <w:overflowPunct/>
        <w:autoSpaceDE/>
        <w:autoSpaceDN/>
        <w:adjustRightInd/>
        <w:spacing w:after="160" w:line="259" w:lineRule="auto"/>
        <w:jc w:val="both"/>
        <w:textAlignment w:val="auto"/>
        <w:rPr>
          <w:rFonts w:ascii="Calibri" w:eastAsia="Calibri" w:hAnsi="Calibri"/>
          <w:kern w:val="2"/>
          <w:szCs w:val="24"/>
          <w:lang w:eastAsia="en-US"/>
        </w:rPr>
      </w:pPr>
      <w:r w:rsidRPr="003C3C48">
        <w:rPr>
          <w:rFonts w:ascii="Calibri" w:eastAsia="Calibri" w:hAnsi="Calibri"/>
          <w:kern w:val="2"/>
          <w:szCs w:val="24"/>
          <w:lang w:eastAsia="en-US"/>
        </w:rPr>
        <w:t>18. İstekliler teklif edecekleri cihaza veya sarf malzemeye ait teknik şartname maddelerine ayrı ayrı ve Türkçe olarak cevap vereceklerdir. Yetkili kişi tarafından imzalanmış olmalıdır. Şartnameye uygunluk belgesi ile satın alma sistemine firma tarafından yüklenmelidir.</w:t>
      </w:r>
    </w:p>
    <w:p w:rsidR="00131AD7" w:rsidRDefault="00EE3768" w:rsidP="00260231">
      <w:r>
        <w:rPr>
          <w:sz w:val="16"/>
        </w:rPr>
        <w:tab/>
      </w:r>
      <w:r>
        <w:rPr>
          <w:sz w:val="16"/>
        </w:rPr>
        <w:tab/>
      </w:r>
    </w:p>
    <w:sectPr w:rsidR="00131AD7" w:rsidSect="00131A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61A" w:rsidRDefault="004E261A" w:rsidP="00EE3768">
      <w:r>
        <w:separator/>
      </w:r>
    </w:p>
  </w:endnote>
  <w:endnote w:type="continuationSeparator" w:id="0">
    <w:p w:rsidR="004E261A" w:rsidRDefault="004E261A"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61A" w:rsidRDefault="004E261A" w:rsidP="00EE3768">
      <w:r>
        <w:separator/>
      </w:r>
    </w:p>
  </w:footnote>
  <w:footnote w:type="continuationSeparator" w:id="0">
    <w:p w:rsidR="004E261A" w:rsidRDefault="004E261A" w:rsidP="00EE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476ED"/>
    <w:multiLevelType w:val="hybridMultilevel"/>
    <w:tmpl w:val="4B7087A2"/>
    <w:lvl w:ilvl="0" w:tplc="F21EE7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F52C93"/>
    <w:multiLevelType w:val="hybridMultilevel"/>
    <w:tmpl w:val="C10A1F5A"/>
    <w:lvl w:ilvl="0" w:tplc="D5CC7D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7"/>
  </w:num>
  <w:num w:numId="2">
    <w:abstractNumId w:val="1"/>
  </w:num>
  <w:num w:numId="3">
    <w:abstractNumId w:val="5"/>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8"/>
  </w:num>
  <w:num w:numId="10">
    <w:abstractNumId w:val="9"/>
  </w:num>
  <w:num w:numId="11">
    <w:abstractNumId w:val="4"/>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768"/>
    <w:rsid w:val="0004169D"/>
    <w:rsid w:val="0006147B"/>
    <w:rsid w:val="00065DAE"/>
    <w:rsid w:val="000938DF"/>
    <w:rsid w:val="000B67D3"/>
    <w:rsid w:val="000C1888"/>
    <w:rsid w:val="000D0F3D"/>
    <w:rsid w:val="000F0A4C"/>
    <w:rsid w:val="0012609F"/>
    <w:rsid w:val="00131AD7"/>
    <w:rsid w:val="00155D7D"/>
    <w:rsid w:val="001719D4"/>
    <w:rsid w:val="001802EF"/>
    <w:rsid w:val="001A7446"/>
    <w:rsid w:val="00202D95"/>
    <w:rsid w:val="0020698C"/>
    <w:rsid w:val="00211881"/>
    <w:rsid w:val="00214905"/>
    <w:rsid w:val="002273BF"/>
    <w:rsid w:val="00260231"/>
    <w:rsid w:val="00286FC3"/>
    <w:rsid w:val="002966DD"/>
    <w:rsid w:val="0030135D"/>
    <w:rsid w:val="003145E0"/>
    <w:rsid w:val="00334A5B"/>
    <w:rsid w:val="00337C8E"/>
    <w:rsid w:val="003428A0"/>
    <w:rsid w:val="003478E1"/>
    <w:rsid w:val="003C3C48"/>
    <w:rsid w:val="003E09E6"/>
    <w:rsid w:val="003E2267"/>
    <w:rsid w:val="003F17C4"/>
    <w:rsid w:val="00414A29"/>
    <w:rsid w:val="004241F0"/>
    <w:rsid w:val="00443091"/>
    <w:rsid w:val="00472A73"/>
    <w:rsid w:val="00491A46"/>
    <w:rsid w:val="004B0AC5"/>
    <w:rsid w:val="004D05BD"/>
    <w:rsid w:val="004D5819"/>
    <w:rsid w:val="004E1185"/>
    <w:rsid w:val="004E261A"/>
    <w:rsid w:val="004E3F40"/>
    <w:rsid w:val="005820FA"/>
    <w:rsid w:val="00593EFD"/>
    <w:rsid w:val="005C44F5"/>
    <w:rsid w:val="005C7296"/>
    <w:rsid w:val="005F4C7C"/>
    <w:rsid w:val="00617D6E"/>
    <w:rsid w:val="0063316F"/>
    <w:rsid w:val="00662FFB"/>
    <w:rsid w:val="0066603A"/>
    <w:rsid w:val="00674185"/>
    <w:rsid w:val="00687A76"/>
    <w:rsid w:val="006974EA"/>
    <w:rsid w:val="006B2F43"/>
    <w:rsid w:val="006B39A7"/>
    <w:rsid w:val="006C46E0"/>
    <w:rsid w:val="007202FB"/>
    <w:rsid w:val="00737C6B"/>
    <w:rsid w:val="00755E13"/>
    <w:rsid w:val="00763486"/>
    <w:rsid w:val="00775326"/>
    <w:rsid w:val="007C7FE1"/>
    <w:rsid w:val="007F2D7F"/>
    <w:rsid w:val="007F6A47"/>
    <w:rsid w:val="008051EF"/>
    <w:rsid w:val="00810048"/>
    <w:rsid w:val="00823C6D"/>
    <w:rsid w:val="00867182"/>
    <w:rsid w:val="0087227F"/>
    <w:rsid w:val="00874864"/>
    <w:rsid w:val="008935F4"/>
    <w:rsid w:val="008B7373"/>
    <w:rsid w:val="008C140C"/>
    <w:rsid w:val="008F1635"/>
    <w:rsid w:val="00906290"/>
    <w:rsid w:val="0091308A"/>
    <w:rsid w:val="00964073"/>
    <w:rsid w:val="0099212C"/>
    <w:rsid w:val="009A443F"/>
    <w:rsid w:val="00A64840"/>
    <w:rsid w:val="00A658AE"/>
    <w:rsid w:val="00A92AEF"/>
    <w:rsid w:val="00A96A48"/>
    <w:rsid w:val="00AB18B0"/>
    <w:rsid w:val="00AB438A"/>
    <w:rsid w:val="00AF253C"/>
    <w:rsid w:val="00B001D4"/>
    <w:rsid w:val="00B03E8F"/>
    <w:rsid w:val="00B07437"/>
    <w:rsid w:val="00B66BA0"/>
    <w:rsid w:val="00B7264B"/>
    <w:rsid w:val="00B954DA"/>
    <w:rsid w:val="00BA5331"/>
    <w:rsid w:val="00BA5E7C"/>
    <w:rsid w:val="00BC4195"/>
    <w:rsid w:val="00BC4351"/>
    <w:rsid w:val="00BD6D97"/>
    <w:rsid w:val="00BE1581"/>
    <w:rsid w:val="00C064EA"/>
    <w:rsid w:val="00C12D91"/>
    <w:rsid w:val="00C22859"/>
    <w:rsid w:val="00C547D2"/>
    <w:rsid w:val="00C75949"/>
    <w:rsid w:val="00C86A80"/>
    <w:rsid w:val="00CB1486"/>
    <w:rsid w:val="00CC287B"/>
    <w:rsid w:val="00CC5BBB"/>
    <w:rsid w:val="00CF261D"/>
    <w:rsid w:val="00CF4729"/>
    <w:rsid w:val="00D04C3D"/>
    <w:rsid w:val="00D246C1"/>
    <w:rsid w:val="00D265CB"/>
    <w:rsid w:val="00D45AC9"/>
    <w:rsid w:val="00D54441"/>
    <w:rsid w:val="00D5456A"/>
    <w:rsid w:val="00D62447"/>
    <w:rsid w:val="00D732A0"/>
    <w:rsid w:val="00D73FAB"/>
    <w:rsid w:val="00D81C62"/>
    <w:rsid w:val="00D82E09"/>
    <w:rsid w:val="00D86BB9"/>
    <w:rsid w:val="00DA4EA4"/>
    <w:rsid w:val="00DB38E7"/>
    <w:rsid w:val="00DB6576"/>
    <w:rsid w:val="00DD78F7"/>
    <w:rsid w:val="00DE3B91"/>
    <w:rsid w:val="00E07E33"/>
    <w:rsid w:val="00E44C4D"/>
    <w:rsid w:val="00E52C33"/>
    <w:rsid w:val="00E67E50"/>
    <w:rsid w:val="00EE3768"/>
    <w:rsid w:val="00EE4E3D"/>
    <w:rsid w:val="00F01B59"/>
    <w:rsid w:val="00F1493D"/>
    <w:rsid w:val="00F332C4"/>
    <w:rsid w:val="00F3373E"/>
    <w:rsid w:val="00F348FB"/>
    <w:rsid w:val="00F37235"/>
    <w:rsid w:val="00F9648D"/>
    <w:rsid w:val="00FB3141"/>
    <w:rsid w:val="00FC5ED1"/>
    <w:rsid w:val="00FD6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5A7F"/>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lang w:val="tr-TR" w:eastAsia="tr-TR"/>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p@usak.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5388</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asus</cp:lastModifiedBy>
  <cp:revision>2</cp:revision>
  <dcterms:created xsi:type="dcterms:W3CDTF">2024-03-12T13:45:00Z</dcterms:created>
  <dcterms:modified xsi:type="dcterms:W3CDTF">2024-03-12T13:45:00Z</dcterms:modified>
</cp:coreProperties>
</file>