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Default="00123BFA" w:rsidP="00123BFA">
      <w:pPr>
        <w:pStyle w:val="Default"/>
      </w:pPr>
      <w:r>
        <w:t xml:space="preserve"> </w:t>
      </w:r>
    </w:p>
    <w:p w:rsidR="00123BFA" w:rsidRPr="00D40276" w:rsidRDefault="00123BFA" w:rsidP="00D40276">
      <w:pPr>
        <w:pStyle w:val="Default"/>
        <w:spacing w:after="120"/>
        <w:jc w:val="both"/>
        <w:rPr>
          <w:szCs w:val="23"/>
        </w:rPr>
      </w:pPr>
      <w:r w:rsidRPr="00D40276">
        <w:rPr>
          <w:b/>
          <w:bCs/>
          <w:szCs w:val="23"/>
        </w:rPr>
        <w:t xml:space="preserve">1. </w:t>
      </w:r>
      <w:r w:rsidRPr="00D40276">
        <w:rPr>
          <w:szCs w:val="23"/>
        </w:rPr>
        <w:t xml:space="preserve">Teşvik ödemesi yalnızca ilgili yılın </w:t>
      </w:r>
      <w:r w:rsidRPr="00D40276">
        <w:rPr>
          <w:b/>
          <w:bCs/>
          <w:szCs w:val="23"/>
        </w:rPr>
        <w:t xml:space="preserve">1 Ocak-31 Aralık 2018 </w:t>
      </w:r>
      <w:r w:rsidRPr="00D40276">
        <w:rPr>
          <w:szCs w:val="23"/>
        </w:rPr>
        <w:t xml:space="preserve">tarihleri arasında gerçekleştirilen faaliyetleri kapsamaktadır. </w:t>
      </w:r>
    </w:p>
    <w:p w:rsidR="00123BFA" w:rsidRPr="00D40276" w:rsidRDefault="00123BFA" w:rsidP="00D40276">
      <w:pPr>
        <w:pStyle w:val="Default"/>
        <w:spacing w:after="120"/>
        <w:jc w:val="both"/>
        <w:rPr>
          <w:szCs w:val="23"/>
        </w:rPr>
      </w:pPr>
      <w:r w:rsidRPr="00D40276">
        <w:rPr>
          <w:b/>
          <w:bCs/>
          <w:szCs w:val="23"/>
        </w:rPr>
        <w:t xml:space="preserve">2. </w:t>
      </w:r>
      <w:r w:rsidRPr="00D40276">
        <w:rPr>
          <w:szCs w:val="23"/>
        </w:rPr>
        <w:t xml:space="preserve">Akademik teşvik ödeneğinin ödenmesi için akademik teşvik puanının </w:t>
      </w:r>
      <w:r w:rsidRPr="00D40276">
        <w:rPr>
          <w:b/>
          <w:bCs/>
          <w:szCs w:val="23"/>
        </w:rPr>
        <w:t xml:space="preserve">en az 30 </w:t>
      </w:r>
      <w:r w:rsidRPr="00D40276">
        <w:rPr>
          <w:szCs w:val="23"/>
        </w:rPr>
        <w:t xml:space="preserve">olması gerekir. </w:t>
      </w:r>
    </w:p>
    <w:p w:rsidR="00123BFA" w:rsidRPr="00D40276" w:rsidRDefault="00123BFA" w:rsidP="00D40276">
      <w:pPr>
        <w:pStyle w:val="Default"/>
        <w:spacing w:after="120"/>
        <w:jc w:val="both"/>
        <w:rPr>
          <w:szCs w:val="23"/>
        </w:rPr>
      </w:pPr>
      <w:r w:rsidRPr="00D40276">
        <w:rPr>
          <w:b/>
          <w:bCs/>
          <w:szCs w:val="23"/>
        </w:rPr>
        <w:t xml:space="preserve">3. </w:t>
      </w:r>
      <w:r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123BFA" w:rsidP="00D40276">
      <w:pPr>
        <w:pStyle w:val="Default"/>
        <w:spacing w:after="120"/>
        <w:jc w:val="both"/>
        <w:rPr>
          <w:szCs w:val="23"/>
        </w:rPr>
      </w:pPr>
      <w:r w:rsidRPr="00D40276">
        <w:rPr>
          <w:b/>
          <w:bCs/>
          <w:szCs w:val="23"/>
        </w:rPr>
        <w:t xml:space="preserve">4. </w:t>
      </w:r>
      <w:r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522FA8" w:rsidP="00522FA8">
      <w:pPr>
        <w:pStyle w:val="Default"/>
        <w:spacing w:after="120"/>
        <w:jc w:val="both"/>
        <w:rPr>
          <w:bCs/>
          <w:szCs w:val="23"/>
        </w:rPr>
      </w:pPr>
      <w:r w:rsidRPr="00522FA8">
        <w:rPr>
          <w:b/>
          <w:bCs/>
          <w:szCs w:val="23"/>
        </w:rPr>
        <w:t>5.</w:t>
      </w:r>
      <w:r w:rsidRPr="00522FA8">
        <w:rPr>
          <w:bCs/>
          <w:szCs w:val="23"/>
        </w:rPr>
        <w:t xml:space="preserve"> Puanların ve ödemelerin hesaplanmasında öğretim elemanının teşvik başvurusu yaptığı tarihteki kadro </w:t>
      </w:r>
      <w:proofErr w:type="spellStart"/>
      <w:r w:rsidRPr="00522FA8">
        <w:rPr>
          <w:bCs/>
          <w:szCs w:val="23"/>
        </w:rPr>
        <w:t>ünvanı</w:t>
      </w:r>
      <w:proofErr w:type="spellEnd"/>
      <w:r w:rsidRPr="00522FA8">
        <w:rPr>
          <w:bCs/>
          <w:szCs w:val="23"/>
        </w:rPr>
        <w:t xml:space="preserve"> esas alınır.</w:t>
      </w:r>
    </w:p>
    <w:p w:rsidR="00522FA8" w:rsidRPr="00522FA8" w:rsidRDefault="00522FA8" w:rsidP="00522FA8">
      <w:pPr>
        <w:pStyle w:val="Default"/>
        <w:spacing w:after="120"/>
        <w:jc w:val="both"/>
        <w:rPr>
          <w:bCs/>
          <w:szCs w:val="23"/>
        </w:rPr>
      </w:pPr>
      <w:r w:rsidRPr="00522FA8">
        <w:rPr>
          <w:b/>
          <w:bCs/>
          <w:szCs w:val="23"/>
        </w:rPr>
        <w:t>6.</w:t>
      </w:r>
      <w:r w:rsidRPr="00522FA8">
        <w:rPr>
          <w:bCs/>
          <w:szCs w:val="23"/>
        </w:rPr>
        <w:t xml:space="preserve"> Yabancı uyruklu öğretim elemanları akademik teşvik ödeneğinden yararlanamaz.</w:t>
      </w:r>
    </w:p>
    <w:p w:rsidR="00123BFA" w:rsidRPr="00D40276" w:rsidRDefault="00395AD9" w:rsidP="00D40276">
      <w:pPr>
        <w:pStyle w:val="Default"/>
        <w:spacing w:after="120"/>
        <w:jc w:val="both"/>
        <w:rPr>
          <w:szCs w:val="23"/>
        </w:rPr>
      </w:pPr>
      <w:r>
        <w:rPr>
          <w:b/>
          <w:bCs/>
          <w:szCs w:val="23"/>
        </w:rPr>
        <w:t>7</w:t>
      </w:r>
      <w:r w:rsidR="00123BFA" w:rsidRPr="00D40276">
        <w:rPr>
          <w:b/>
          <w:bCs/>
          <w:szCs w:val="23"/>
        </w:rPr>
        <w:t xml:space="preserve">. </w:t>
      </w:r>
      <w:r w:rsidR="00123BFA" w:rsidRPr="00D40276">
        <w:rPr>
          <w:szCs w:val="23"/>
        </w:rPr>
        <w:t xml:space="preserve">Teşvik ödeneği başvurularında, akademik faaliyetlere ilişkin </w:t>
      </w:r>
      <w:proofErr w:type="spellStart"/>
      <w:r w:rsidR="00123BFA" w:rsidRPr="00D40276">
        <w:rPr>
          <w:szCs w:val="23"/>
        </w:rPr>
        <w:t>YÖKSİS’ten</w:t>
      </w:r>
      <w:proofErr w:type="spellEnd"/>
      <w:r w:rsidR="00123BFA" w:rsidRPr="00D40276">
        <w:rPr>
          <w:szCs w:val="23"/>
        </w:rPr>
        <w:t xml:space="preserve"> alınan çıktı ile birlikte her bir faaliyet türü için öngörülen bilgi ve belgelerinde sunulması zorunludur. </w:t>
      </w:r>
    </w:p>
    <w:p w:rsidR="00123BFA" w:rsidRPr="00D40276" w:rsidRDefault="00395AD9" w:rsidP="00D40276">
      <w:pPr>
        <w:pStyle w:val="Default"/>
        <w:spacing w:after="120"/>
        <w:jc w:val="both"/>
        <w:rPr>
          <w:szCs w:val="23"/>
        </w:rPr>
      </w:pPr>
      <w:r>
        <w:rPr>
          <w:b/>
          <w:bCs/>
          <w:szCs w:val="23"/>
        </w:rPr>
        <w:t>8</w:t>
      </w:r>
      <w:r w:rsidR="00123BFA" w:rsidRPr="00D40276">
        <w:rPr>
          <w:b/>
          <w:bCs/>
          <w:szCs w:val="23"/>
        </w:rPr>
        <w:t xml:space="preserve">. </w:t>
      </w:r>
      <w:r w:rsidR="00123BFA" w:rsidRPr="00D40276">
        <w:rPr>
          <w:szCs w:val="23"/>
        </w:rPr>
        <w:t xml:space="preserve">Akademik Teşvik Ödeneği başvurusunda bulunacak araştırmacıların YÖKSİS çıktısını imzalı olarak sunmaları zorunludur. </w:t>
      </w:r>
    </w:p>
    <w:p w:rsidR="00123BFA" w:rsidRPr="00D40276" w:rsidRDefault="00395AD9"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123BFA" w:rsidRPr="00D40276" w:rsidRDefault="008F129A" w:rsidP="00D40276">
      <w:pPr>
        <w:pStyle w:val="Default"/>
        <w:spacing w:after="120"/>
        <w:jc w:val="both"/>
        <w:rPr>
          <w:szCs w:val="23"/>
        </w:rPr>
      </w:pPr>
      <w:r>
        <w:rPr>
          <w:b/>
          <w:bCs/>
          <w:szCs w:val="23"/>
        </w:rPr>
        <w:t>1</w:t>
      </w:r>
      <w:r w:rsidR="00395AD9">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395AD9"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rsidR="00123BFA" w:rsidRPr="00D40276" w:rsidRDefault="00395AD9"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395AD9"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Pr="00D40276" w:rsidRDefault="00123BFA" w:rsidP="00D40276">
      <w:pPr>
        <w:pStyle w:val="Default"/>
        <w:spacing w:after="120"/>
        <w:jc w:val="both"/>
        <w:rPr>
          <w:szCs w:val="23"/>
        </w:rPr>
      </w:pPr>
      <w:r w:rsidRPr="00D40276">
        <w:rPr>
          <w:b/>
          <w:bCs/>
          <w:szCs w:val="23"/>
        </w:rPr>
        <w:lastRenderedPageBreak/>
        <w:t>1</w:t>
      </w:r>
      <w:r w:rsidR="00395AD9">
        <w:rPr>
          <w:b/>
          <w:bCs/>
          <w:szCs w:val="23"/>
        </w:rPr>
        <w:t>4</w:t>
      </w:r>
      <w:r w:rsidRPr="00D40276">
        <w:rPr>
          <w:b/>
          <w:bCs/>
          <w:szCs w:val="23"/>
        </w:rPr>
        <w:t xml:space="preserve">. </w:t>
      </w:r>
      <w:r w:rsidRPr="00D40276">
        <w:rPr>
          <w:szCs w:val="23"/>
        </w:rPr>
        <w:t xml:space="preserve">Ödeme yapıldıktan sonra gerçeğe aykırı veya bu Yönetmelik kapsamına girmediği anlaşılan faaliyetler için başvuruda bulunduğu tespit edilenlere yapılan ödemeler kanuni faiziyle birlikte geri alınır. Gerçeğe aykırı, yanlış veya yanıltıcı bildirimde bulunanlar hakkında komisyon tespit ve bildirimi ile inceleme başlatılır. İnceleme sonucuna göre cezai müeyyidelerin uygulanmasının gerekmesi halinde genel hükümler uygulanır. </w:t>
      </w:r>
    </w:p>
    <w:p w:rsidR="00D40276" w:rsidRDefault="00D40276"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395AD9" w:rsidRDefault="00395AD9" w:rsidP="00DA6B94">
      <w:pPr>
        <w:jc w:val="center"/>
        <w:rPr>
          <w:rFonts w:ascii="Times New Roman" w:hAnsi="Times New Roman" w:cs="Times New Roman"/>
          <w:sz w:val="24"/>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lastRenderedPageBreak/>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8A60D7">
        <w:trPr>
          <w:jc w:val="center"/>
        </w:trPr>
        <w:tc>
          <w:tcPr>
            <w:tcW w:w="4602" w:type="dxa"/>
            <w:gridSpan w:val="2"/>
          </w:tcPr>
          <w:p w:rsidR="00395AD9" w:rsidRPr="00522FA8" w:rsidRDefault="00395AD9" w:rsidP="008A60D7">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8A60D7">
        <w:trPr>
          <w:jc w:val="center"/>
        </w:trPr>
        <w:tc>
          <w:tcPr>
            <w:tcW w:w="2192" w:type="dxa"/>
          </w:tcPr>
          <w:p w:rsidR="00395AD9" w:rsidRPr="00522FA8" w:rsidRDefault="00395AD9" w:rsidP="008A60D7">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8A60D7">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8A60D7">
        <w:trPr>
          <w:jc w:val="center"/>
        </w:trPr>
        <w:tc>
          <w:tcPr>
            <w:tcW w:w="2192" w:type="dxa"/>
          </w:tcPr>
          <w:p w:rsidR="00395AD9" w:rsidRPr="00522FA8"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8A60D7">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8A60D7">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8A60D7">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8A60D7">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8A60D7">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8A60D7">
        <w:trPr>
          <w:jc w:val="center"/>
        </w:trPr>
        <w:tc>
          <w:tcPr>
            <w:tcW w:w="2192" w:type="dxa"/>
          </w:tcPr>
          <w:p w:rsidR="00395AD9" w:rsidRDefault="00395AD9" w:rsidP="008A60D7">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8A60D7">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8A60D7">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8A60D7">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8A60D7">
        <w:trPr>
          <w:trHeight w:val="340"/>
        </w:trPr>
        <w:tc>
          <w:tcPr>
            <w:tcW w:w="3115" w:type="dxa"/>
            <w:tcBorders>
              <w:right w:val="single" w:sz="6" w:space="0" w:color="000000"/>
            </w:tcBorders>
          </w:tcPr>
          <w:p w:rsidR="00395AD9" w:rsidRPr="00522FA8" w:rsidRDefault="00395AD9" w:rsidP="008A60D7">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8A60D7">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8A60D7">
        <w:trPr>
          <w:trHeight w:val="390"/>
        </w:trPr>
        <w:tc>
          <w:tcPr>
            <w:tcW w:w="3115" w:type="dxa"/>
            <w:tcBorders>
              <w:right w:val="single" w:sz="6" w:space="0" w:color="000000"/>
            </w:tcBorders>
          </w:tcPr>
          <w:p w:rsidR="00395AD9" w:rsidRPr="00522FA8" w:rsidRDefault="00395AD9" w:rsidP="008A60D7">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8A60D7">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395AD9" w:rsidRPr="00522FA8" w:rsidRDefault="00395AD9" w:rsidP="00395AD9">
      <w:pPr>
        <w:pStyle w:val="GvdeMetni"/>
        <w:ind w:left="213" w:right="173"/>
        <w:jc w:val="both"/>
        <w:rPr>
          <w:rFonts w:ascii="Times New Roman" w:hAnsi="Times New Roman" w:cs="Times New Roman"/>
          <w:sz w:val="24"/>
          <w:szCs w:val="24"/>
        </w:rPr>
      </w:pPr>
      <w:proofErr w:type="gramStart"/>
      <w:r w:rsidRPr="00522FA8">
        <w:rPr>
          <w:rFonts w:ascii="Times New Roman" w:hAnsi="Times New Roman" w:cs="Times New Roman"/>
          <w:sz w:val="24"/>
          <w:szCs w:val="24"/>
        </w:rPr>
        <w:t>SCI, SCI-</w:t>
      </w:r>
      <w:proofErr w:type="spellStart"/>
      <w:r w:rsidRPr="00522FA8">
        <w:rPr>
          <w:rFonts w:ascii="Times New Roman" w:hAnsi="Times New Roman" w:cs="Times New Roman"/>
          <w:sz w:val="24"/>
          <w:szCs w:val="24"/>
        </w:rPr>
        <w:t>Expanded</w:t>
      </w:r>
      <w:proofErr w:type="spellEnd"/>
      <w:r w:rsidRPr="00522FA8">
        <w:rPr>
          <w:rFonts w:ascii="Times New Roman" w:hAnsi="Times New Roman" w:cs="Times New Roman"/>
          <w:sz w:val="24"/>
          <w:szCs w:val="24"/>
        </w:rPr>
        <w:t>,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roofErr w:type="gramEnd"/>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8A60D7">
        <w:trPr>
          <w:trHeight w:val="393"/>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8A60D7">
        <w:trPr>
          <w:trHeight w:val="398"/>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8A60D7">
        <w:trPr>
          <w:trHeight w:val="397"/>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Özel bir paylaşım oranı olmayan veya isim sıralaması veya derecelendirmesi bulun-mayan faaliyetler için “oran/kişi sayısı” oranı dikkate alınır. Ancak, sergi faaliyet türündeki karma etkinlikler ve uluslararası boyutta performansa dayalı yayımlanmış karma ses ve/veya görüntü kaydı kişi sayısına bakılmaksızın tam puanla değerlendirilir.</w:t>
      </w:r>
    </w:p>
    <w:p w:rsidR="00395AD9" w:rsidRPr="00DA6B94" w:rsidRDefault="00395AD9" w:rsidP="00DA6B94">
      <w:pPr>
        <w:jc w:val="center"/>
        <w:rPr>
          <w:rFonts w:ascii="Times New Roman" w:hAnsi="Times New Roman" w:cs="Times New Roman"/>
          <w:sz w:val="24"/>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355F39" w:rsidRPr="00355F39" w:rsidRDefault="00355F39" w:rsidP="00401360">
            <w:pPr>
              <w:pStyle w:val="TableParagraph"/>
              <w:spacing w:before="62"/>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1001, 1003, 3501, 1505, COST, Uluslararası</w:t>
            </w:r>
          </w:p>
          <w:p w:rsidR="00355F39" w:rsidRPr="00355F39" w:rsidRDefault="00355F39" w:rsidP="00401360">
            <w:pPr>
              <w:pStyle w:val="TableParagraph"/>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İkili İşbirliği Programları</w:t>
            </w: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360"/>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1002</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Diğer uluslararası özel veya resmi kurum ve kuruluşlar tarafından desteklenmiş ve destek süresi dokuz aydan az olmayan Ar-Ge niteliğini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aydan az olmayan Ar-Ge niteliğini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980AA7" w:rsidRPr="00415B4F" w:rsidRDefault="00980AA7" w:rsidP="00415B4F">
      <w:pPr>
        <w:ind w:left="-516"/>
        <w:rPr>
          <w:rFonts w:ascii="Times New Roman" w:hAnsi="Times New Roman" w:cs="Times New Roman"/>
          <w:b/>
          <w:sz w:val="16"/>
        </w:rPr>
      </w:pP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 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2. Araştırmanın en az 2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Default="00F66C21" w:rsidP="00085EC7">
      <w:pPr>
        <w:tabs>
          <w:tab w:val="left" w:pos="384"/>
        </w:tabs>
        <w:spacing w:line="360" w:lineRule="auto"/>
        <w:ind w:right="-738"/>
        <w:rPr>
          <w:rFonts w:ascii="Times New Roman" w:hAnsi="Times New Roman" w:cs="Times New Roman"/>
          <w:sz w:val="20"/>
          <w:szCs w:val="20"/>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F66C21" w:rsidRDefault="00F66C21"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p w:rsidR="00D40276" w:rsidRDefault="00D40276"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rsidTr="00F66C21">
        <w:trPr>
          <w:trHeight w:val="194"/>
        </w:trPr>
        <w:tc>
          <w:tcPr>
            <w:tcW w:w="1418" w:type="dxa"/>
            <w:vMerge w:val="restart"/>
            <w:shd w:val="clear" w:color="auto" w:fill="CCC0D9"/>
          </w:tcPr>
          <w:p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F66C21" w:rsidRPr="00355F39" w:rsidRDefault="00F66C21" w:rsidP="00401360">
            <w:pPr>
              <w:pStyle w:val="TableParagraph"/>
              <w:spacing w:before="6"/>
              <w:rPr>
                <w:rFonts w:ascii="Times New Roman" w:hAnsi="Times New Roman" w:cs="Times New Roman"/>
                <w:sz w:val="20"/>
                <w:szCs w:val="20"/>
                <w:lang w:val="tr-TR"/>
              </w:rPr>
            </w:pPr>
          </w:p>
          <w:p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rsidTr="00BC0120">
        <w:trPr>
          <w:trHeight w:val="390"/>
        </w:trPr>
        <w:tc>
          <w:tcPr>
            <w:tcW w:w="1418" w:type="dxa"/>
            <w:vMerge/>
            <w:tcBorders>
              <w:top w:val="nil"/>
              <w:bottom w:val="single" w:sz="4" w:space="0" w:color="auto"/>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3B77DE" w:rsidRDefault="00F66C21" w:rsidP="00415B4F">
            <w:pPr>
              <w:pStyle w:val="TableParagraph"/>
              <w:spacing w:before="2"/>
              <w:rPr>
                <w:rFonts w:ascii="Times New Roman" w:hAnsi="Times New Roman" w:cs="Times New Roman"/>
                <w:sz w:val="16"/>
              </w:rPr>
            </w:pPr>
          </w:p>
        </w:tc>
      </w:tr>
      <w:tr w:rsidR="00F66C21" w:rsidRPr="003B77DE"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w:t>
            </w:r>
            <w:r>
              <w:rPr>
                <w:rFonts w:ascii="Times New Roman" w:hAnsi="Times New Roman" w:cs="Times New Roman"/>
                <w:sz w:val="16"/>
                <w:lang w:val="tr-TR"/>
              </w:rPr>
              <w:t xml:space="preserve"> </w:t>
            </w:r>
            <w:r w:rsidRPr="003B77DE">
              <w:rPr>
                <w:rFonts w:ascii="Times New Roman" w:hAnsi="Times New Roman" w:cs="Times New Roman"/>
                <w:sz w:val="16"/>
                <w:lang w:val="tr-TR"/>
              </w:rPr>
              <w:t>alanlar için) kapsamındaki dergilerde yayınlanmış araştırma makalesi</w:t>
            </w:r>
          </w:p>
        </w:tc>
        <w:tc>
          <w:tcPr>
            <w:tcW w:w="1134" w:type="dxa"/>
          </w:tcPr>
          <w:p w:rsidR="00F66C21" w:rsidRPr="003B77DE" w:rsidRDefault="00F66C21" w:rsidP="00401360">
            <w:pPr>
              <w:pStyle w:val="TableParagraph"/>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276" w:type="dxa"/>
          </w:tcPr>
          <w:p w:rsidR="00F66C21" w:rsidRPr="003B77DE" w:rsidRDefault="00F66C21" w:rsidP="00401360">
            <w:pPr>
              <w:pStyle w:val="TableParagraph"/>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spacing w:before="12"/>
              <w:rPr>
                <w:rFonts w:ascii="Times New Roman" w:hAnsi="Times New Roman" w:cs="Times New Roman"/>
                <w:sz w:val="15"/>
              </w:rPr>
            </w:pPr>
          </w:p>
        </w:tc>
      </w:tr>
      <w:tr w:rsidR="00F66C21" w:rsidRPr="003B77DE" w:rsidTr="00BC0120">
        <w:trPr>
          <w:trHeight w:val="58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16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yayınlanmış derleme veya kısa makale (editöre mektup, yorum, vaka takdimi, teknik not,</w:t>
            </w:r>
            <w:r>
              <w:rPr>
                <w:rFonts w:ascii="Times New Roman" w:hAnsi="Times New Roman" w:cs="Times New Roman"/>
                <w:sz w:val="16"/>
                <w:lang w:val="tr-TR"/>
              </w:rPr>
              <w:t xml:space="preserve"> </w:t>
            </w:r>
            <w:r w:rsidRPr="003B77DE">
              <w:rPr>
                <w:rFonts w:ascii="Times New Roman" w:hAnsi="Times New Roman" w:cs="Times New Roman"/>
                <w:sz w:val="16"/>
                <w:lang w:val="tr-TR"/>
              </w:rPr>
              <w:t>araştırma notu, özet ve kitap kritiği)</w:t>
            </w:r>
          </w:p>
        </w:tc>
        <w:tc>
          <w:tcPr>
            <w:tcW w:w="1134" w:type="dxa"/>
          </w:tcPr>
          <w:p w:rsidR="00F66C21" w:rsidRPr="003B77DE" w:rsidRDefault="00F66C21" w:rsidP="00401360">
            <w:pPr>
              <w:pStyle w:val="TableParagraph"/>
              <w:spacing w:before="14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w:t>
            </w:r>
          </w:p>
        </w:tc>
        <w:tc>
          <w:tcPr>
            <w:tcW w:w="992" w:type="dxa"/>
          </w:tcPr>
          <w:p w:rsidR="00F66C21" w:rsidRPr="003B77DE" w:rsidRDefault="00F66C21" w:rsidP="00401360">
            <w:pPr>
              <w:pStyle w:val="TableParagraph"/>
              <w:spacing w:before="14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4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w:t>
            </w:r>
          </w:p>
        </w:tc>
        <w:tc>
          <w:tcPr>
            <w:tcW w:w="1276" w:type="dxa"/>
          </w:tcPr>
          <w:p w:rsidR="00F66C21" w:rsidRPr="003B77DE" w:rsidRDefault="00F66C21" w:rsidP="00401360">
            <w:pPr>
              <w:pStyle w:val="TableParagraph"/>
              <w:spacing w:before="14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235"/>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editörlük</w:t>
            </w:r>
            <w:r>
              <w:rPr>
                <w:rFonts w:ascii="Times New Roman" w:hAnsi="Times New Roman" w:cs="Times New Roman"/>
                <w:sz w:val="16"/>
                <w:lang w:val="tr-TR"/>
              </w:rPr>
              <w:t xml:space="preserve"> </w:t>
            </w:r>
            <w:r w:rsidRPr="003B77DE">
              <w:rPr>
                <w:rFonts w:ascii="Times New Roman" w:hAnsi="Times New Roman" w:cs="Times New Roman"/>
                <w:sz w:val="16"/>
                <w:lang w:val="tr-TR"/>
              </w:rPr>
              <w:t>veya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984" w:type="dxa"/>
            <w:vMerge/>
          </w:tcPr>
          <w:p w:rsidR="00F66C21" w:rsidRPr="003B77DE" w:rsidRDefault="00F66C21" w:rsidP="00401360">
            <w:pPr>
              <w:pStyle w:val="TableParagraph"/>
              <w:spacing w:before="11"/>
              <w:rPr>
                <w:rFonts w:ascii="Times New Roman" w:hAnsi="Times New Roman" w:cs="Times New Roman"/>
                <w:sz w:val="15"/>
              </w:rPr>
            </w:pPr>
          </w:p>
        </w:tc>
      </w:tr>
      <w:tr w:rsidR="00F66C21" w:rsidRPr="003B77DE"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editörlük ve editör kurulu üyeliği</w:t>
            </w:r>
          </w:p>
        </w:tc>
        <w:tc>
          <w:tcPr>
            <w:tcW w:w="1134" w:type="dxa"/>
          </w:tcPr>
          <w:p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lastRenderedPageBreak/>
        <w:t xml:space="preserve">* </w:t>
      </w:r>
      <w:r w:rsidRPr="00355F39">
        <w:rPr>
          <w:rFonts w:ascii="Times New Roman" w:hAnsi="Times New Roman" w:cs="Times New Roman"/>
          <w:b/>
          <w:sz w:val="20"/>
          <w:szCs w:val="20"/>
        </w:rPr>
        <w:t>BAŞVURUDA İSTENİLEN BELGELER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b/>
          <w:sz w:val="20"/>
          <w:szCs w:val="20"/>
        </w:rPr>
        <w:t xml:space="preserve">1. Araştırma Kitabı: </w:t>
      </w:r>
      <w:r w:rsidRPr="00D25FBE">
        <w:rPr>
          <w:rFonts w:ascii="Times New Roman" w:hAnsi="Times New Roman" w:cs="Times New Roman"/>
          <w:sz w:val="20"/>
          <w:szCs w:val="20"/>
        </w:rPr>
        <w:t>Ulusal veya Uluslararası yayınevlerinde (Yükseköğretim kurumu senatosu kararıyla etkinliği ve saygınlığı kabul edilmiş) yayınlanmış kitap yazarlığı için, Kitabın kapak, b</w:t>
      </w:r>
      <w:r w:rsidR="00F303CE" w:rsidRPr="00D25FBE">
        <w:rPr>
          <w:rFonts w:ascii="Times New Roman" w:hAnsi="Times New Roman" w:cs="Times New Roman"/>
          <w:sz w:val="20"/>
          <w:szCs w:val="20"/>
        </w:rPr>
        <w:t xml:space="preserve">asım bilgilerini, ISBN numarası, </w:t>
      </w:r>
      <w:r w:rsidRPr="00D25FBE">
        <w:rPr>
          <w:rFonts w:ascii="Times New Roman" w:hAnsi="Times New Roman" w:cs="Times New Roman"/>
          <w:sz w:val="20"/>
          <w:szCs w:val="20"/>
        </w:rPr>
        <w:t>içindekiler</w:t>
      </w:r>
      <w:r w:rsidR="00F303CE" w:rsidRPr="00D25FBE">
        <w:rPr>
          <w:rFonts w:ascii="Times New Roman" w:hAnsi="Times New Roman" w:cs="Times New Roman"/>
          <w:sz w:val="20"/>
          <w:szCs w:val="20"/>
        </w:rPr>
        <w:t>i içeren b</w:t>
      </w:r>
      <w:r w:rsidRPr="00D25FBE">
        <w:rPr>
          <w:rFonts w:ascii="Times New Roman" w:hAnsi="Times New Roman" w:cs="Times New Roman"/>
          <w:sz w:val="20"/>
          <w:szCs w:val="20"/>
        </w:rPr>
        <w:t>ir dosya.</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b/>
          <w:sz w:val="20"/>
          <w:szCs w:val="20"/>
        </w:rPr>
        <w:t>2. Kitap Bölümü:</w:t>
      </w:r>
      <w:r w:rsidRPr="00D25FBE">
        <w:rPr>
          <w:rFonts w:ascii="Times New Roman" w:hAnsi="Times New Roman" w:cs="Times New Roman"/>
          <w:sz w:val="20"/>
          <w:szCs w:val="20"/>
        </w:rPr>
        <w:t xml:space="preserve"> Kitabın kapak, basım bilgileri, ISBN numarası</w:t>
      </w:r>
      <w:r w:rsidR="00D25FBE" w:rsidRPr="00D25FBE">
        <w:rPr>
          <w:rFonts w:ascii="Times New Roman" w:hAnsi="Times New Roman" w:cs="Times New Roman"/>
          <w:sz w:val="20"/>
          <w:szCs w:val="20"/>
        </w:rPr>
        <w:t xml:space="preserve">, </w:t>
      </w:r>
      <w:r w:rsidRPr="00D25FBE">
        <w:rPr>
          <w:rFonts w:ascii="Times New Roman" w:hAnsi="Times New Roman" w:cs="Times New Roman"/>
          <w:sz w:val="20"/>
          <w:szCs w:val="20"/>
        </w:rPr>
        <w:t>için</w:t>
      </w:r>
      <w:r w:rsidR="00D25FBE" w:rsidRPr="00D25FBE">
        <w:rPr>
          <w:rFonts w:ascii="Times New Roman" w:hAnsi="Times New Roman" w:cs="Times New Roman"/>
          <w:sz w:val="20"/>
          <w:szCs w:val="20"/>
        </w:rPr>
        <w:t>dekiler sayfaları il</w:t>
      </w:r>
      <w:r w:rsidRPr="00D25FBE">
        <w:rPr>
          <w:rFonts w:ascii="Times New Roman" w:hAnsi="Times New Roman" w:cs="Times New Roman"/>
          <w:sz w:val="20"/>
          <w:szCs w:val="20"/>
        </w:rPr>
        <w:t xml:space="preserve">e ilgili bölümün </w:t>
      </w:r>
      <w:r w:rsidR="00D25FBE" w:rsidRPr="00D25FBE">
        <w:rPr>
          <w:rFonts w:ascii="Times New Roman" w:hAnsi="Times New Roman" w:cs="Times New Roman"/>
          <w:sz w:val="20"/>
          <w:szCs w:val="20"/>
        </w:rPr>
        <w:t xml:space="preserve">ilk sayfasını içeren </w:t>
      </w:r>
      <w:r w:rsidRPr="00D25FBE">
        <w:rPr>
          <w:rFonts w:ascii="Times New Roman" w:hAnsi="Times New Roman" w:cs="Times New Roman"/>
          <w:sz w:val="20"/>
          <w:szCs w:val="20"/>
        </w:rPr>
        <w:t>bir dosya.</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b/>
          <w:sz w:val="20"/>
          <w:szCs w:val="20"/>
        </w:rPr>
        <w:t xml:space="preserve">3. Kitap Editörlüğü: </w:t>
      </w:r>
      <w:r w:rsidRPr="00D25FBE">
        <w:rPr>
          <w:rFonts w:ascii="Times New Roman" w:hAnsi="Times New Roman" w:cs="Times New Roman"/>
          <w:sz w:val="20"/>
          <w:szCs w:val="20"/>
        </w:rPr>
        <w:t>Kitap editörlüğü için, kitabın kapak, basım bilgileri, ISBN numarası ve editörlerini gösteren sayfaları</w:t>
      </w:r>
      <w:r w:rsidR="00D25FBE" w:rsidRPr="00D25FBE">
        <w:rPr>
          <w:rFonts w:ascii="Times New Roman" w:hAnsi="Times New Roman" w:cs="Times New Roman"/>
          <w:sz w:val="20"/>
          <w:szCs w:val="20"/>
        </w:rPr>
        <w:t xml:space="preserve"> içeren </w:t>
      </w:r>
      <w:r w:rsidRPr="00D25FBE">
        <w:rPr>
          <w:rFonts w:ascii="Times New Roman" w:hAnsi="Times New Roman" w:cs="Times New Roman"/>
          <w:sz w:val="20"/>
          <w:szCs w:val="20"/>
        </w:rPr>
        <w:t>bir dosya.</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4. Dergilerde Editörlük ve Editör Kurulu Üyeliği</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Tanınmış ulusal yayınevi: En az 5 yıldır ulusal düzeyde düzenli faaliyet yürüten, daha önce aynı alanda farklı yazarlara ait en az 20 kitap yayımlamış ve yükseköğretim kurumu senatosunun kararıyla alanında etkinliği ve saygınlığı kabul edilen yayınevini 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Tanınmış uluslararası yayınevi: En az 5 yıldır uluslararası düzeyde düzenli faaliyet yürüten, aynı alanda farklı yazarlara ait en az 20 kitap yayımlamış ve yükseköğretim kurumu senatosunun kararıyla alanında etkinliği ve saygınlığı kabul edilen yayınevini 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lastRenderedPageBreak/>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editörlük ve editör kurulu üyeliklerinin değerlendirilmesinde, sadece bir editörlük veya editör kurulu üyeliği 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355F39" w:rsidRDefault="00355F39" w:rsidP="00355F39">
      <w:pPr>
        <w:ind w:left="567" w:right="-738" w:hanging="567"/>
        <w:rPr>
          <w:sz w:val="20"/>
          <w:szCs w:val="20"/>
        </w:rPr>
      </w:pP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p w:rsidR="00AD0C0B" w:rsidRPr="00AD0C0B" w:rsidRDefault="00AD0C0B" w:rsidP="00AD0C0B">
      <w:pPr>
        <w:spacing w:line="360" w:lineRule="auto"/>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w:t>
      </w:r>
      <w:bookmarkStart w:id="0" w:name="_GoBack"/>
      <w:bookmarkEnd w:id="0"/>
      <w:r w:rsidR="00DA0B83">
        <w:rPr>
          <w:rFonts w:ascii="Times New Roman" w:hAnsi="Times New Roman" w:cs="Times New Roman"/>
          <w:sz w:val="20"/>
          <w:szCs w:val="20"/>
        </w:rPr>
        <w:t xml:space="preserve">)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1F7CEF">
      <w:pPr>
        <w:pStyle w:val="ListeParagraf"/>
        <w:numPr>
          <w:ilvl w:val="0"/>
          <w:numId w:val="2"/>
        </w:numPr>
        <w:tabs>
          <w:tab w:val="left" w:pos="384"/>
        </w:tabs>
        <w:spacing w:line="360" w:lineRule="auto"/>
        <w:ind w:left="567" w:right="-738" w:hanging="1169"/>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1F7CEF">
      <w:pPr>
        <w:pStyle w:val="ListeParagraf"/>
        <w:numPr>
          <w:ilvl w:val="0"/>
          <w:numId w:val="2"/>
        </w:numPr>
        <w:tabs>
          <w:tab w:val="left" w:pos="384"/>
        </w:tabs>
        <w:spacing w:line="360" w:lineRule="auto"/>
        <w:ind w:left="567" w:right="-738" w:hanging="1169"/>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a.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w:t>
            </w:r>
            <w:proofErr w:type="gramStart"/>
            <w:r w:rsidR="0062348D">
              <w:rPr>
                <w:rFonts w:ascii="Times New Roman" w:hAnsi="Times New Roman" w:cs="Times New Roman"/>
                <w:sz w:val="17"/>
                <w:lang w:val="tr-TR"/>
              </w:rPr>
              <w:t xml:space="preserve">sayfa </w:t>
            </w:r>
            <w:r w:rsidRPr="00401360">
              <w:rPr>
                <w:rFonts w:ascii="Times New Roman" w:hAnsi="Times New Roman" w:cs="Times New Roman"/>
                <w:sz w:val="17"/>
                <w:lang w:val="tr-TR"/>
              </w:rPr>
              <w:t xml:space="preserve"> ve</w:t>
            </w:r>
            <w:proofErr w:type="gram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493"/>
              <w:rPr>
                <w:rFonts w:ascii="Times New Roman" w:hAnsi="Times New Roman" w:cs="Times New Roman"/>
                <w:sz w:val="16"/>
                <w:lang w:val="tr-TR"/>
              </w:rPr>
            </w:pPr>
            <w:r w:rsidRPr="003B77DE">
              <w:rPr>
                <w:rFonts w:ascii="Times New Roman" w:hAnsi="Times New Roman" w:cs="Times New Roman"/>
                <w:sz w:val="16"/>
                <w:lang w:val="tr-TR"/>
              </w:rPr>
              <w:t>Alan endeksleri (varsa) 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880"/>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1" w:line="190" w:lineRule="atLeast"/>
              <w:ind w:left="107" w:right="96"/>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3"/>
              <w:ind w:left="107"/>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lastRenderedPageBreak/>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ulusal yayınevi: En az 5 yıldır ulusal düzeyde düzenli faaliyet yürüten, daha önce aynı alanda farklı yazarlara ait en az 20 kitap yayımlamış ve yükseköğretim kurumu senatosunun kararıyla alanında etkinliği ve saygınlığı kabul edilen 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uluslararası yayınevi: En az 5 yıldır uluslararası düzeyde düzenli faaliyet yürüten, aynı alanda farklı yazarlara ait en az 20 kitap yayımlamış ve yükseköğretim kurumu senatosunun kararıyla alanında etkinliği ve saygınlığı kabul edilen 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401360">
            <w:pPr>
              <w:pStyle w:val="TableParagraph"/>
              <w:spacing w:before="2"/>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Tebliğin sözlü </w:t>
            </w:r>
            <w:r w:rsidR="00AD0C0B">
              <w:rPr>
                <w:rFonts w:ascii="Times New Roman" w:hAnsi="Times New Roman" w:cs="Times New Roman"/>
                <w:sz w:val="20"/>
                <w:lang w:val="tr-TR"/>
              </w:rPr>
              <w:t>sunulduğunu</w:t>
            </w:r>
            <w:r w:rsidRPr="00FF296B">
              <w:rPr>
                <w:rFonts w:ascii="Times New Roman" w:hAnsi="Times New Roman" w:cs="Times New Roman"/>
                <w:sz w:val="20"/>
                <w:lang w:val="tr-TR"/>
              </w:rPr>
              <w:t xml:space="preserve"> gösteren belge</w:t>
            </w:r>
          </w:p>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2. Kongre kitapçığının kapak sayfası, program ve katılım belgesi</w:t>
            </w:r>
          </w:p>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3. Tebliğin uluslararası kongre ve </w:t>
            </w:r>
            <w:proofErr w:type="gramStart"/>
            <w:r w:rsidRPr="00FF296B">
              <w:rPr>
                <w:rFonts w:ascii="Times New Roman" w:hAnsi="Times New Roman" w:cs="Times New Roman"/>
                <w:sz w:val="20"/>
                <w:lang w:val="tr-TR"/>
              </w:rPr>
              <w:t>sempozyumda</w:t>
            </w:r>
            <w:proofErr w:type="gramEnd"/>
            <w:r w:rsidRPr="00FF296B">
              <w:rPr>
                <w:rFonts w:ascii="Times New Roman" w:hAnsi="Times New Roman" w:cs="Times New Roman"/>
                <w:sz w:val="20"/>
                <w:lang w:val="tr-TR"/>
              </w:rPr>
              <w:t xml:space="preserve"> sunulduğunu kanıtlamak için en az 5 farklı ülkeden konuşmacının katıldığını gösteren belge</w:t>
            </w:r>
          </w:p>
          <w:p w:rsidR="00401360" w:rsidRPr="00401360"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4. Tebliğin </w:t>
            </w:r>
            <w:r w:rsidR="00AD0C0B">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sunulduğu etkinliğin uluslararası olarak nitelendirilebilmesi için en az beş farklı ülkeden konuşmacının katılım sağlaması 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D40276" w:rsidRDefault="00D40276" w:rsidP="00D40276">
      <w:pPr>
        <w:pStyle w:val="ListeParagraf"/>
        <w:ind w:left="-567" w:right="-737"/>
        <w:rPr>
          <w:rFonts w:ascii="Times New Roman" w:hAnsi="Times New Roman" w:cs="Times New Roman"/>
          <w:sz w:val="20"/>
          <w:szCs w:val="20"/>
        </w:rPr>
      </w:pPr>
    </w:p>
    <w:p w:rsidR="00AD0C0B" w:rsidRDefault="00AD0C0B" w:rsidP="00D40276">
      <w:pPr>
        <w:pStyle w:val="ListeParagraf"/>
        <w:ind w:left="-567" w:right="-737"/>
        <w:rPr>
          <w:rFonts w:ascii="Times New Roman" w:hAnsi="Times New Roman" w:cs="Times New Roman"/>
          <w:sz w:val="20"/>
          <w:szCs w:val="20"/>
        </w:rPr>
      </w:pP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3. Güzel sanat etkinliklerinde veya yarışmalarında eserlere verilen ödül 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1F7CEF" w:rsidRDefault="001F7CEF" w:rsidP="003430D3">
      <w:pPr>
        <w:pStyle w:val="ListeParagraf"/>
        <w:tabs>
          <w:tab w:val="left" w:pos="384"/>
        </w:tabs>
        <w:spacing w:line="360" w:lineRule="auto"/>
        <w:ind w:left="567" w:right="-738"/>
        <w:rPr>
          <w:rFonts w:ascii="Times New Roman" w:hAnsi="Times New Roman" w:cs="Times New Roman"/>
          <w:sz w:val="20"/>
          <w:szCs w:val="20"/>
        </w:rPr>
      </w:pPr>
    </w:p>
    <w:p w:rsidR="001F7CEF" w:rsidRDefault="001F7CEF" w:rsidP="003430D3">
      <w:pPr>
        <w:pStyle w:val="ListeParagraf"/>
        <w:tabs>
          <w:tab w:val="left" w:pos="384"/>
        </w:tabs>
        <w:spacing w:line="360" w:lineRule="auto"/>
        <w:ind w:left="567" w:right="-738"/>
        <w:rPr>
          <w:rFonts w:ascii="Times New Roman" w:hAnsi="Times New Roman" w:cs="Times New Roman"/>
          <w:sz w:val="20"/>
          <w:szCs w:val="20"/>
        </w:rPr>
      </w:pPr>
    </w:p>
    <w:p w:rsidR="001F7CEF" w:rsidRDefault="001F7CEF" w:rsidP="003430D3">
      <w:pPr>
        <w:pStyle w:val="ListeParagraf"/>
        <w:tabs>
          <w:tab w:val="left" w:pos="384"/>
        </w:tabs>
        <w:spacing w:line="360" w:lineRule="auto"/>
        <w:ind w:left="567" w:right="-738"/>
        <w:rPr>
          <w:rFonts w:ascii="Times New Roman" w:hAnsi="Times New Roman" w:cs="Times New Roman"/>
          <w:sz w:val="20"/>
          <w:szCs w:val="20"/>
        </w:rPr>
      </w:pPr>
    </w:p>
    <w:p w:rsidR="00B229F1" w:rsidRPr="00355F39" w:rsidRDefault="00B229F1" w:rsidP="001F7CEF">
      <w:pPr>
        <w:spacing w:line="360" w:lineRule="auto"/>
        <w:ind w:left="-567"/>
        <w:rPr>
          <w:sz w:val="20"/>
          <w:szCs w:val="20"/>
        </w:rPr>
      </w:pPr>
      <w:r>
        <w:rPr>
          <w:rFonts w:ascii="Times New Roman" w:hAnsi="Times New Roman" w:cs="Times New Roman"/>
          <w:b/>
          <w:sz w:val="16"/>
        </w:rPr>
        <w:t>BAŞVURUDA DİKKAT EDİLMESİ GEREKEN HUSUSLAR:</w:t>
      </w:r>
    </w:p>
    <w:p w:rsidR="00B229F1" w:rsidRPr="001F7CEF" w:rsidRDefault="00B229F1"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B229F1" w:rsidRDefault="00B229F1" w:rsidP="00B229F1">
      <w:pPr>
        <w:pStyle w:val="GvdeMetni"/>
        <w:spacing w:before="11"/>
        <w:rPr>
          <w:sz w:val="15"/>
        </w:rPr>
      </w:pPr>
    </w:p>
    <w:p w:rsidR="00B229F1" w:rsidRPr="001F7CEF" w:rsidRDefault="00B229F1"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B229F1" w:rsidRDefault="00B229F1" w:rsidP="00B229F1">
      <w:pPr>
        <w:pStyle w:val="GvdeMetni"/>
        <w:spacing w:before="11"/>
        <w:rPr>
          <w:sz w:val="15"/>
        </w:rPr>
      </w:pPr>
    </w:p>
    <w:p w:rsidR="008F129A" w:rsidRDefault="00B229F1" w:rsidP="008F129A">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8F129A" w:rsidRPr="008F129A" w:rsidRDefault="008F129A" w:rsidP="008F129A">
      <w:pPr>
        <w:pStyle w:val="ListeParagraf"/>
        <w:rPr>
          <w:rFonts w:ascii="Times New Roman" w:hAnsi="Times New Roman" w:cs="Times New Roman"/>
          <w:sz w:val="20"/>
          <w:szCs w:val="20"/>
        </w:rPr>
      </w:pPr>
    </w:p>
    <w:p w:rsidR="008F129A" w:rsidRPr="008F129A" w:rsidRDefault="008F129A" w:rsidP="008F129A">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P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sectPr w:rsidR="003430D3" w:rsidRPr="003430D3"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90" w:rsidRDefault="00380E90" w:rsidP="00BE6321">
      <w:r>
        <w:separator/>
      </w:r>
    </w:p>
  </w:endnote>
  <w:endnote w:type="continuationSeparator" w:id="0">
    <w:p w:rsidR="00380E90" w:rsidRDefault="00380E90"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EndPr/>
    <w:sdtContent>
      <w:p w:rsidR="00522FA8" w:rsidRDefault="00522FA8">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DA0B83">
          <w:rPr>
            <w:rFonts w:ascii="Times New Roman" w:hAnsi="Times New Roman" w:cs="Times New Roman"/>
            <w:noProof/>
            <w:sz w:val="20"/>
          </w:rPr>
          <w:t>13</w:t>
        </w:r>
        <w:r w:rsidRPr="00BE6321">
          <w:rPr>
            <w:rFonts w:ascii="Times New Roman" w:hAnsi="Times New Roman" w:cs="Times New Roman"/>
            <w:sz w:val="20"/>
          </w:rPr>
          <w:fldChar w:fldCharType="end"/>
        </w:r>
      </w:p>
    </w:sdtContent>
  </w:sdt>
  <w:p w:rsidR="00522FA8" w:rsidRDefault="00522F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90" w:rsidRDefault="00380E90" w:rsidP="00BE6321">
      <w:r>
        <w:separator/>
      </w:r>
    </w:p>
  </w:footnote>
  <w:footnote w:type="continuationSeparator" w:id="0">
    <w:p w:rsidR="00380E90" w:rsidRDefault="00380E90"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85EC7"/>
    <w:rsid w:val="001051D5"/>
    <w:rsid w:val="00123BFA"/>
    <w:rsid w:val="001D2EA1"/>
    <w:rsid w:val="001F7CEF"/>
    <w:rsid w:val="003430D3"/>
    <w:rsid w:val="00355F39"/>
    <w:rsid w:val="00380E90"/>
    <w:rsid w:val="00395AD9"/>
    <w:rsid w:val="00401360"/>
    <w:rsid w:val="00415B4F"/>
    <w:rsid w:val="00464AAC"/>
    <w:rsid w:val="00507B40"/>
    <w:rsid w:val="00522FA8"/>
    <w:rsid w:val="006133EC"/>
    <w:rsid w:val="0062348D"/>
    <w:rsid w:val="00665A7E"/>
    <w:rsid w:val="008F129A"/>
    <w:rsid w:val="00980AA7"/>
    <w:rsid w:val="00AC54B5"/>
    <w:rsid w:val="00AD0C0B"/>
    <w:rsid w:val="00B229F1"/>
    <w:rsid w:val="00B75342"/>
    <w:rsid w:val="00BC0120"/>
    <w:rsid w:val="00BE6321"/>
    <w:rsid w:val="00C45A38"/>
    <w:rsid w:val="00C61DB0"/>
    <w:rsid w:val="00D25FBE"/>
    <w:rsid w:val="00D40276"/>
    <w:rsid w:val="00DA0B83"/>
    <w:rsid w:val="00DA6B94"/>
    <w:rsid w:val="00EC3AF2"/>
    <w:rsid w:val="00EF6163"/>
    <w:rsid w:val="00F303CE"/>
    <w:rsid w:val="00F36F8E"/>
    <w:rsid w:val="00F66C21"/>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4F31"/>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13D0-40B9-47D9-AFFE-8C2B2A17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4566</Words>
  <Characters>26032</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Asuss</cp:lastModifiedBy>
  <cp:revision>3</cp:revision>
  <dcterms:created xsi:type="dcterms:W3CDTF">2018-12-27T06:58:00Z</dcterms:created>
  <dcterms:modified xsi:type="dcterms:W3CDTF">2018-12-27T10:44:00Z</dcterms:modified>
</cp:coreProperties>
</file>